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cs="宋体"/>
          <w:sz w:val="48"/>
          <w:szCs w:val="48"/>
        </w:rPr>
      </w:pPr>
    </w:p>
    <w:p>
      <w:pPr>
        <w:jc w:val="center"/>
        <w:rPr>
          <w:rFonts w:ascii="宋体" w:hAnsi="宋体" w:eastAsia="宋体" w:cs="宋体"/>
          <w:b/>
          <w:bCs/>
          <w:sz w:val="48"/>
          <w:szCs w:val="48"/>
        </w:rPr>
      </w:pPr>
      <w:r>
        <w:rPr>
          <w:rFonts w:hint="eastAsia" w:ascii="宋体" w:hAnsi="宋体" w:eastAsia="宋体" w:cs="宋体"/>
          <w:b/>
          <w:bCs/>
          <w:sz w:val="48"/>
          <w:szCs w:val="48"/>
        </w:rPr>
        <w:t>开封市</w:t>
      </w:r>
      <w:r>
        <w:rPr>
          <w:rFonts w:hint="eastAsia" w:ascii="宋体" w:hAnsi="宋体" w:eastAsia="宋体" w:cs="宋体"/>
          <w:b/>
          <w:bCs/>
          <w:sz w:val="48"/>
          <w:szCs w:val="48"/>
          <w:lang w:val="en-US" w:eastAsia="zh-CN"/>
        </w:rPr>
        <w:t>祥符区</w:t>
      </w:r>
      <w:r>
        <w:rPr>
          <w:rFonts w:hint="eastAsia" w:ascii="宋体" w:hAnsi="宋体" w:eastAsia="宋体" w:cs="宋体"/>
          <w:b/>
          <w:bCs/>
          <w:sz w:val="48"/>
          <w:szCs w:val="48"/>
        </w:rPr>
        <w:t>新建商品房预售资金监管专用账户托管银行服务项目</w:t>
      </w:r>
    </w:p>
    <w:p>
      <w:pPr>
        <w:jc w:val="center"/>
        <w:rPr>
          <w:rFonts w:ascii="宋体" w:hAnsi="宋体" w:eastAsia="宋体" w:cs="宋体"/>
          <w:b/>
          <w:bCs/>
          <w:sz w:val="48"/>
          <w:szCs w:val="48"/>
          <w:highlight w:val="yellow"/>
        </w:rPr>
      </w:pPr>
    </w:p>
    <w:p>
      <w:pPr>
        <w:ind w:right="-588" w:rightChars="-280"/>
        <w:jc w:val="center"/>
        <w:rPr>
          <w:rFonts w:ascii="宋体" w:hAnsi="宋体"/>
          <w:color w:val="000000"/>
          <w:sz w:val="28"/>
          <w:szCs w:val="28"/>
        </w:rPr>
      </w:pPr>
    </w:p>
    <w:p>
      <w:pPr>
        <w:pStyle w:val="21"/>
        <w:ind w:left="0" w:leftChars="0" w:firstLine="0" w:firstLineChars="0"/>
      </w:pPr>
    </w:p>
    <w:p>
      <w:pPr>
        <w:pStyle w:val="4"/>
      </w:pPr>
    </w:p>
    <w:p>
      <w:pPr>
        <w:jc w:val="center"/>
        <w:rPr>
          <w:rFonts w:ascii="宋体" w:hAnsi="宋体" w:eastAsia="宋体" w:cs="宋体"/>
          <w:b/>
          <w:bCs/>
          <w:sz w:val="96"/>
          <w:szCs w:val="96"/>
        </w:rPr>
      </w:pP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rPr>
        <w:t>招标文件</w:t>
      </w:r>
    </w:p>
    <w:p>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项目编号：祥符公开招标-2023-31</w:t>
      </w:r>
    </w:p>
    <w:p>
      <w:pPr>
        <w:ind w:right="-588" w:rightChars="-280"/>
        <w:jc w:val="center"/>
        <w:rPr>
          <w:rFonts w:ascii="宋体" w:hAnsi="宋体"/>
          <w:color w:val="000000"/>
          <w:sz w:val="28"/>
          <w:szCs w:val="28"/>
        </w:rPr>
      </w:pPr>
      <w:r>
        <w:rPr>
          <w:rFonts w:hint="eastAsia" w:ascii="宋体" w:hAnsi="宋体" w:cs="宋体"/>
          <w:b/>
          <w:sz w:val="32"/>
          <w:szCs w:val="32"/>
        </w:rPr>
        <w:drawing>
          <wp:inline distT="0" distB="0" distL="114300" distR="114300">
            <wp:extent cx="1997710" cy="1923415"/>
            <wp:effectExtent l="0" t="0" r="13970" b="12065"/>
            <wp:docPr id="4" name="图片 4" descr="微信图片_2021022615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226154135"/>
                    <pic:cNvPicPr>
                      <a:picLocks noChangeAspect="1"/>
                    </pic:cNvPicPr>
                  </pic:nvPicPr>
                  <pic:blipFill>
                    <a:blip r:embed="rId7"/>
                    <a:stretch>
                      <a:fillRect/>
                    </a:stretch>
                  </pic:blipFill>
                  <pic:spPr>
                    <a:xfrm>
                      <a:off x="0" y="0"/>
                      <a:ext cx="1997710" cy="1923415"/>
                    </a:xfrm>
                    <a:prstGeom prst="rect">
                      <a:avLst/>
                    </a:prstGeom>
                    <a:noFill/>
                    <a:ln>
                      <a:noFill/>
                    </a:ln>
                  </pic:spPr>
                </pic:pic>
              </a:graphicData>
            </a:graphic>
          </wp:inline>
        </w:drawing>
      </w: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pStyle w:val="4"/>
        <w:ind w:left="0" w:leftChars="0" w:firstLine="0" w:firstLineChars="0"/>
        <w:rPr>
          <w:rFonts w:ascii="宋体" w:hAnsi="宋体" w:eastAsia="宋体" w:cs="宋体"/>
        </w:rPr>
      </w:pPr>
    </w:p>
    <w:p/>
    <w:p>
      <w:pPr>
        <w:ind w:firstLine="1606" w:firstLineChars="400"/>
        <w:rPr>
          <w:rFonts w:hint="eastAsia" w:ascii="宋体" w:hAnsi="宋体" w:eastAsia="宋体" w:cs="宋体"/>
          <w:b/>
          <w:bCs/>
          <w:sz w:val="40"/>
          <w:szCs w:val="40"/>
          <w:highlight w:val="yellow"/>
          <w:lang w:eastAsia="zh-CN"/>
        </w:rPr>
      </w:pPr>
      <w:r>
        <w:rPr>
          <w:rFonts w:hint="eastAsia" w:ascii="宋体" w:hAnsi="宋体" w:eastAsia="宋体" w:cs="宋体"/>
          <w:b/>
          <w:bCs/>
          <w:sz w:val="40"/>
          <w:szCs w:val="40"/>
        </w:rPr>
        <w:t>招 标 人：</w:t>
      </w:r>
      <w:r>
        <w:rPr>
          <w:rFonts w:hint="eastAsia" w:ascii="宋体" w:hAnsi="宋体" w:eastAsia="宋体" w:cs="宋体"/>
          <w:b/>
          <w:bCs/>
          <w:sz w:val="40"/>
          <w:szCs w:val="40"/>
          <w:u w:val="single"/>
          <w:lang w:eastAsia="zh-CN"/>
        </w:rPr>
        <w:t>开封市祥符区住房和城乡建设局</w:t>
      </w:r>
    </w:p>
    <w:p>
      <w:pPr>
        <w:ind w:firstLine="1606" w:firstLineChars="400"/>
        <w:rPr>
          <w:rFonts w:hint="eastAsia" w:ascii="宋体" w:hAnsi="宋体" w:eastAsia="宋体" w:cs="宋体"/>
          <w:b/>
          <w:bCs/>
          <w:sz w:val="40"/>
          <w:szCs w:val="40"/>
          <w:lang w:eastAsia="zh-CN"/>
        </w:rPr>
      </w:pPr>
      <w:r>
        <w:rPr>
          <w:rFonts w:hint="eastAsia" w:ascii="宋体" w:hAnsi="宋体" w:eastAsia="宋体" w:cs="宋体"/>
          <w:b/>
          <w:bCs/>
          <w:sz w:val="40"/>
          <w:szCs w:val="40"/>
        </w:rPr>
        <w:t>代理机构：</w:t>
      </w:r>
      <w:r>
        <w:rPr>
          <w:rFonts w:hint="eastAsia" w:ascii="宋体" w:hAnsi="宋体" w:eastAsia="宋体" w:cs="宋体"/>
          <w:b/>
          <w:bCs/>
          <w:sz w:val="40"/>
          <w:szCs w:val="40"/>
          <w:u w:val="single"/>
          <w:lang w:eastAsia="zh-CN"/>
        </w:rPr>
        <w:t>中晟睿智工程管理有限公司</w:t>
      </w:r>
    </w:p>
    <w:p>
      <w:pPr>
        <w:ind w:firstLine="1606" w:firstLineChars="400"/>
        <w:rPr>
          <w:rFonts w:ascii="宋体" w:hAnsi="宋体" w:eastAsia="宋体" w:cs="宋体"/>
          <w:b/>
          <w:bCs/>
          <w:sz w:val="40"/>
          <w:szCs w:val="40"/>
        </w:rPr>
      </w:pPr>
      <w:r>
        <w:rPr>
          <w:rFonts w:hint="eastAsia" w:ascii="宋体" w:hAnsi="宋体" w:eastAsia="宋体" w:cs="宋体"/>
          <w:b/>
          <w:bCs/>
          <w:sz w:val="40"/>
          <w:szCs w:val="40"/>
        </w:rPr>
        <w:t>日    期：</w:t>
      </w:r>
      <w:r>
        <w:rPr>
          <w:rFonts w:hint="eastAsia" w:ascii="宋体" w:hAnsi="宋体" w:eastAsia="宋体" w:cs="宋体"/>
          <w:b/>
          <w:bCs/>
          <w:sz w:val="40"/>
          <w:szCs w:val="40"/>
          <w:u w:val="single"/>
        </w:rPr>
        <w:t xml:space="preserve">二 零 二 </w:t>
      </w:r>
      <w:r>
        <w:rPr>
          <w:rFonts w:hint="eastAsia" w:ascii="宋体" w:hAnsi="宋体" w:eastAsia="宋体" w:cs="宋体"/>
          <w:b/>
          <w:bCs/>
          <w:sz w:val="40"/>
          <w:szCs w:val="40"/>
          <w:u w:val="single"/>
          <w:lang w:val="en-US" w:eastAsia="zh-CN"/>
        </w:rPr>
        <w:t>三</w:t>
      </w:r>
      <w:r>
        <w:rPr>
          <w:rFonts w:hint="eastAsia" w:ascii="宋体" w:hAnsi="宋体" w:eastAsia="宋体" w:cs="宋体"/>
          <w:b/>
          <w:bCs/>
          <w:sz w:val="40"/>
          <w:szCs w:val="40"/>
          <w:u w:val="single"/>
        </w:rPr>
        <w:t xml:space="preserve"> 年</w:t>
      </w:r>
      <w:r>
        <w:rPr>
          <w:rFonts w:hint="eastAsia" w:ascii="宋体" w:hAnsi="宋体" w:eastAsia="宋体" w:cs="宋体"/>
          <w:b/>
          <w:bCs/>
          <w:sz w:val="40"/>
          <w:szCs w:val="40"/>
          <w:u w:val="single"/>
          <w:lang w:val="en-US" w:eastAsia="zh-CN"/>
        </w:rPr>
        <w:t xml:space="preserve"> 七 </w:t>
      </w:r>
      <w:r>
        <w:rPr>
          <w:rFonts w:hint="eastAsia" w:ascii="宋体" w:hAnsi="宋体" w:eastAsia="宋体" w:cs="宋体"/>
          <w:b/>
          <w:bCs/>
          <w:sz w:val="40"/>
          <w:szCs w:val="40"/>
          <w:u w:val="single"/>
        </w:rPr>
        <w:t>月</w:t>
      </w:r>
    </w:p>
    <w:p>
      <w:pPr>
        <w:pStyle w:val="21"/>
        <w:ind w:firstLine="482"/>
        <w:rPr>
          <w:rFonts w:ascii="宋体" w:hAnsi="宋体" w:eastAsia="宋体" w:cs="宋体"/>
          <w:b/>
          <w:bCs/>
          <w:sz w:val="48"/>
          <w:szCs w:val="56"/>
        </w:rPr>
        <w:sectPr>
          <w:footerReference r:id="rId3" w:type="default"/>
          <w:pgSz w:w="11906" w:h="16838"/>
          <w:pgMar w:top="1440" w:right="1080" w:bottom="1440" w:left="1080" w:header="964" w:footer="850" w:gutter="0"/>
          <w:pgNumType w:start="1"/>
          <w:cols w:space="425" w:num="1"/>
          <w:docGrid w:type="lines" w:linePitch="312" w:charSpace="0"/>
        </w:sectPr>
      </w:pPr>
    </w:p>
    <w:p>
      <w:pPr>
        <w:widowControl/>
        <w:jc w:val="left"/>
        <w:rPr>
          <w:rFonts w:hint="eastAsia" w:ascii="宋体" w:hAnsi="宋体" w:eastAsia="宋体" w:cs="宋体"/>
          <w:b/>
          <w:bCs/>
          <w:sz w:val="48"/>
          <w:szCs w:val="56"/>
          <w:lang w:eastAsia="zh-CN"/>
        </w:rPr>
      </w:pPr>
    </w:p>
    <w:p>
      <w:pPr>
        <w:widowControl/>
        <w:jc w:val="left"/>
        <w:rPr>
          <w:rFonts w:hint="eastAsia" w:ascii="宋体" w:hAnsi="宋体" w:eastAsia="宋体" w:cs="宋体"/>
          <w:b/>
          <w:bCs/>
          <w:sz w:val="48"/>
          <w:szCs w:val="56"/>
          <w:lang w:eastAsia="zh-CN"/>
        </w:rPr>
      </w:pPr>
    </w:p>
    <w:p>
      <w:pPr>
        <w:widowControl/>
        <w:jc w:val="left"/>
        <w:rPr>
          <w:rFonts w:hint="eastAsia" w:ascii="宋体" w:hAnsi="宋体" w:eastAsia="宋体" w:cs="宋体"/>
          <w:b/>
          <w:bCs/>
          <w:sz w:val="48"/>
          <w:szCs w:val="56"/>
          <w:lang w:eastAsia="zh-CN"/>
        </w:rPr>
      </w:pPr>
    </w:p>
    <w:p>
      <w:pPr>
        <w:widowControl/>
        <w:jc w:val="left"/>
        <w:rPr>
          <w:rFonts w:hint="eastAsia" w:ascii="宋体" w:hAnsi="宋体" w:eastAsia="宋体" w:cs="宋体"/>
          <w:b/>
          <w:bCs/>
          <w:sz w:val="48"/>
          <w:szCs w:val="56"/>
          <w:lang w:eastAsia="zh-CN"/>
        </w:rPr>
      </w:pPr>
      <w:r>
        <w:rPr>
          <w:rFonts w:hint="eastAsia" w:ascii="宋体" w:hAnsi="宋体" w:eastAsia="宋体" w:cs="宋体"/>
          <w:b/>
          <w:bCs/>
          <w:sz w:val="48"/>
          <w:szCs w:val="56"/>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88265</wp:posOffset>
            </wp:positionV>
            <wp:extent cx="7415530" cy="5561965"/>
            <wp:effectExtent l="0" t="0" r="635" b="6350"/>
            <wp:wrapSquare wrapText="bothSides"/>
            <wp:docPr id="2" name="图片 2" descr="75ad190517c51238c08c92125977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ad190517c51238c08c92125977d68"/>
                    <pic:cNvPicPr>
                      <a:picLocks noChangeAspect="1"/>
                    </pic:cNvPicPr>
                  </pic:nvPicPr>
                  <pic:blipFill>
                    <a:blip r:embed="rId8"/>
                    <a:stretch>
                      <a:fillRect/>
                    </a:stretch>
                  </pic:blipFill>
                  <pic:spPr>
                    <a:xfrm rot="5400000">
                      <a:off x="0" y="0"/>
                      <a:ext cx="7415530" cy="5561965"/>
                    </a:xfrm>
                    <a:prstGeom prst="rect">
                      <a:avLst/>
                    </a:prstGeom>
                  </pic:spPr>
                </pic:pic>
              </a:graphicData>
            </a:graphic>
          </wp:anchor>
        </w:drawing>
      </w:r>
    </w:p>
    <w:p>
      <w:pPr>
        <w:widowControl/>
        <w:jc w:val="left"/>
        <w:rPr>
          <w:rFonts w:hint="eastAsia" w:ascii="宋体" w:hAnsi="宋体" w:eastAsia="宋体" w:cs="宋体"/>
          <w:b/>
          <w:bCs/>
          <w:sz w:val="48"/>
          <w:szCs w:val="56"/>
          <w:lang w:eastAsia="zh-CN"/>
        </w:rPr>
      </w:pPr>
    </w:p>
    <w:p>
      <w:pPr>
        <w:pStyle w:val="21"/>
        <w:ind w:firstLine="482"/>
        <w:jc w:val="center"/>
        <w:rPr>
          <w:rFonts w:hint="eastAsia" w:ascii="宋体" w:hAnsi="宋体" w:eastAsia="宋体" w:cs="宋体"/>
          <w:b/>
          <w:bCs/>
          <w:sz w:val="48"/>
          <w:szCs w:val="56"/>
        </w:rPr>
      </w:pPr>
    </w:p>
    <w:p>
      <w:pPr>
        <w:pStyle w:val="21"/>
        <w:ind w:firstLine="482"/>
        <w:jc w:val="center"/>
        <w:rPr>
          <w:rFonts w:hint="eastAsia" w:ascii="宋体" w:hAnsi="宋体" w:eastAsia="宋体" w:cs="宋体"/>
          <w:b/>
          <w:bCs/>
          <w:sz w:val="48"/>
          <w:szCs w:val="56"/>
        </w:rPr>
      </w:pPr>
    </w:p>
    <w:p>
      <w:pPr>
        <w:pStyle w:val="21"/>
        <w:ind w:firstLine="482"/>
        <w:jc w:val="center"/>
        <w:rPr>
          <w:rFonts w:hint="eastAsia" w:ascii="宋体" w:hAnsi="宋体" w:eastAsia="宋体" w:cs="宋体"/>
          <w:b/>
          <w:bCs/>
          <w:sz w:val="48"/>
          <w:szCs w:val="56"/>
        </w:rPr>
      </w:pPr>
    </w:p>
    <w:p>
      <w:pPr>
        <w:pStyle w:val="21"/>
        <w:ind w:firstLine="482"/>
        <w:jc w:val="center"/>
        <w:rPr>
          <w:rFonts w:hint="eastAsia" w:ascii="宋体" w:hAnsi="宋体" w:eastAsia="宋体" w:cs="宋体"/>
          <w:b/>
          <w:bCs/>
          <w:sz w:val="48"/>
          <w:szCs w:val="56"/>
        </w:rPr>
      </w:pPr>
    </w:p>
    <w:p>
      <w:pPr>
        <w:pStyle w:val="21"/>
        <w:ind w:firstLine="482"/>
        <w:jc w:val="center"/>
        <w:rPr>
          <w:rFonts w:ascii="宋体" w:hAnsi="宋体" w:eastAsia="宋体" w:cs="宋体"/>
          <w:b/>
          <w:bCs/>
          <w:sz w:val="48"/>
          <w:szCs w:val="56"/>
        </w:rPr>
      </w:pPr>
      <w:r>
        <w:rPr>
          <w:rFonts w:hint="eastAsia" w:ascii="宋体" w:hAnsi="宋体" w:eastAsia="宋体" w:cs="宋体"/>
          <w:b/>
          <w:bCs/>
          <w:sz w:val="48"/>
          <w:szCs w:val="56"/>
        </w:rPr>
        <w:t>目   录</w:t>
      </w:r>
    </w:p>
    <w:p>
      <w:pPr>
        <w:pStyle w:val="17"/>
        <w:tabs>
          <w:tab w:val="right" w:leader="dot" w:pos="9746"/>
        </w:tabs>
        <w:spacing w:line="360" w:lineRule="auto"/>
        <w:rPr>
          <w:rFonts w:ascii="宋体" w:hAnsi="宋体" w:eastAsia="宋体" w:cs="宋体"/>
          <w:sz w:val="24"/>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"1-3" \h \u </w:instrText>
      </w:r>
      <w:r>
        <w:rPr>
          <w:rFonts w:hint="eastAsia" w:ascii="宋体" w:hAnsi="宋体" w:eastAsia="宋体" w:cs="宋体"/>
          <w:b/>
          <w:bCs/>
          <w:sz w:val="24"/>
        </w:rPr>
        <w:fldChar w:fldCharType="separate"/>
      </w:r>
      <w:r>
        <w:fldChar w:fldCharType="begin"/>
      </w:r>
      <w:r>
        <w:instrText xml:space="preserve"> HYPERLINK \l "_Toc29995" </w:instrText>
      </w:r>
      <w:r>
        <w:fldChar w:fldCharType="separate"/>
      </w:r>
      <w:r>
        <w:rPr>
          <w:rFonts w:hint="eastAsia" w:ascii="宋体" w:hAnsi="宋体" w:eastAsia="宋体" w:cs="宋体"/>
          <w:sz w:val="24"/>
        </w:rPr>
        <w:t>第一章 招标公告</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_Toc29995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7"/>
        <w:tabs>
          <w:tab w:val="right" w:leader="dot" w:pos="9746"/>
        </w:tabs>
        <w:spacing w:line="360" w:lineRule="auto"/>
        <w:rPr>
          <w:rFonts w:ascii="宋体" w:hAnsi="宋体" w:eastAsia="宋体" w:cs="宋体"/>
          <w:sz w:val="24"/>
        </w:rPr>
      </w:pPr>
      <w:r>
        <w:fldChar w:fldCharType="begin"/>
      </w:r>
      <w:r>
        <w:instrText xml:space="preserve"> HYPERLINK \l "_Toc4475" </w:instrText>
      </w:r>
      <w:r>
        <w:fldChar w:fldCharType="separate"/>
      </w:r>
      <w:r>
        <w:rPr>
          <w:rFonts w:hint="eastAsia" w:ascii="宋体" w:hAnsi="宋体" w:eastAsia="宋体" w:cs="宋体"/>
          <w:sz w:val="24"/>
        </w:rPr>
        <w:t>第二章 投标人须知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_Toc4475 \h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7"/>
        <w:tabs>
          <w:tab w:val="right" w:leader="dot" w:pos="9746"/>
        </w:tabs>
        <w:spacing w:line="360" w:lineRule="auto"/>
        <w:rPr>
          <w:rFonts w:ascii="宋体" w:hAnsi="宋体" w:eastAsia="宋体" w:cs="宋体"/>
          <w:sz w:val="24"/>
        </w:rPr>
      </w:pPr>
      <w:r>
        <w:fldChar w:fldCharType="begin"/>
      </w:r>
      <w:r>
        <w:instrText xml:space="preserve"> HYPERLINK \l "_Toc21355" </w:instrText>
      </w:r>
      <w:r>
        <w:fldChar w:fldCharType="separate"/>
      </w:r>
      <w:r>
        <w:rPr>
          <w:rFonts w:hint="eastAsia" w:ascii="宋体" w:hAnsi="宋体" w:eastAsia="宋体" w:cs="宋体"/>
          <w:sz w:val="24"/>
        </w:rPr>
        <w:t>第三章 评标办法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_Toc21355 \h </w:instrText>
      </w:r>
      <w:r>
        <w:rPr>
          <w:rFonts w:hint="eastAsia" w:ascii="宋体" w:hAnsi="宋体" w:eastAsia="宋体" w:cs="宋体"/>
          <w:sz w:val="24"/>
        </w:rPr>
        <w:fldChar w:fldCharType="separate"/>
      </w:r>
      <w:r>
        <w:rPr>
          <w:rFonts w:hint="eastAsia" w:ascii="宋体" w:hAnsi="宋体" w:eastAsia="宋体" w:cs="宋体"/>
          <w:sz w:val="24"/>
        </w:rPr>
        <w:t>21</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7"/>
        <w:tabs>
          <w:tab w:val="right" w:leader="dot" w:pos="9746"/>
        </w:tabs>
        <w:spacing w:line="360" w:lineRule="auto"/>
        <w:rPr>
          <w:rFonts w:ascii="宋体" w:hAnsi="宋体" w:eastAsia="宋体" w:cs="宋体"/>
          <w:sz w:val="24"/>
        </w:rPr>
      </w:pPr>
      <w:r>
        <w:fldChar w:fldCharType="begin"/>
      </w:r>
      <w:r>
        <w:instrText xml:space="preserve"> HYPERLINK \l "_Toc15374" </w:instrText>
      </w:r>
      <w:r>
        <w:fldChar w:fldCharType="separate"/>
      </w:r>
      <w:r>
        <w:rPr>
          <w:rFonts w:hint="eastAsia" w:ascii="宋体" w:hAnsi="宋体" w:eastAsia="宋体" w:cs="宋体"/>
          <w:sz w:val="24"/>
        </w:rPr>
        <w:t>第四章 合同条款及格式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_Toc15374 \h </w:instrText>
      </w:r>
      <w:r>
        <w:rPr>
          <w:rFonts w:hint="eastAsia" w:ascii="宋体" w:hAnsi="宋体" w:eastAsia="宋体" w:cs="宋体"/>
          <w:sz w:val="24"/>
        </w:rPr>
        <w:fldChar w:fldCharType="separate"/>
      </w:r>
      <w:r>
        <w:rPr>
          <w:rFonts w:hint="eastAsia" w:ascii="宋体" w:hAnsi="宋体" w:eastAsia="宋体" w:cs="宋体"/>
          <w:sz w:val="24"/>
        </w:rPr>
        <w:t>26</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7"/>
        <w:tabs>
          <w:tab w:val="right" w:leader="dot" w:pos="9746"/>
        </w:tabs>
        <w:spacing w:line="360" w:lineRule="auto"/>
        <w:rPr>
          <w:rFonts w:ascii="宋体" w:hAnsi="宋体" w:eastAsia="宋体" w:cs="宋体"/>
          <w:sz w:val="24"/>
        </w:rPr>
      </w:pPr>
      <w:r>
        <w:fldChar w:fldCharType="begin"/>
      </w:r>
      <w:r>
        <w:instrText xml:space="preserve"> HYPERLINK \l "_Toc8092" </w:instrText>
      </w:r>
      <w:r>
        <w:fldChar w:fldCharType="separate"/>
      </w:r>
      <w:r>
        <w:rPr>
          <w:rFonts w:hint="eastAsia" w:ascii="宋体" w:hAnsi="宋体" w:eastAsia="宋体" w:cs="宋体"/>
          <w:sz w:val="24"/>
        </w:rPr>
        <w:t>第五章 委托人要求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_Toc8092 \h </w:instrText>
      </w:r>
      <w:r>
        <w:rPr>
          <w:rFonts w:hint="eastAsia" w:ascii="宋体" w:hAnsi="宋体" w:eastAsia="宋体" w:cs="宋体"/>
          <w:sz w:val="24"/>
        </w:rPr>
        <w:fldChar w:fldCharType="separate"/>
      </w:r>
      <w:r>
        <w:rPr>
          <w:rFonts w:hint="eastAsia" w:ascii="宋体" w:hAnsi="宋体" w:eastAsia="宋体" w:cs="宋体"/>
          <w:sz w:val="24"/>
        </w:rPr>
        <w:t>27</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7"/>
        <w:tabs>
          <w:tab w:val="right" w:leader="dot" w:pos="9746"/>
        </w:tabs>
        <w:spacing w:line="360" w:lineRule="auto"/>
        <w:rPr>
          <w:rFonts w:ascii="宋体" w:hAnsi="宋体" w:eastAsia="宋体" w:cs="宋体"/>
          <w:sz w:val="24"/>
        </w:rPr>
      </w:pPr>
      <w:r>
        <w:fldChar w:fldCharType="begin"/>
      </w:r>
      <w:r>
        <w:instrText xml:space="preserve"> HYPERLINK \l "_Toc20323" </w:instrText>
      </w:r>
      <w:r>
        <w:fldChar w:fldCharType="separate"/>
      </w:r>
      <w:r>
        <w:rPr>
          <w:rFonts w:hint="eastAsia" w:ascii="宋体" w:hAnsi="宋体" w:eastAsia="宋体" w:cs="宋体"/>
          <w:sz w:val="24"/>
        </w:rPr>
        <w:t>第六章 投标文件格式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_Toc20323 \h </w:instrText>
      </w:r>
      <w:r>
        <w:rPr>
          <w:rFonts w:hint="eastAsia" w:ascii="宋体" w:hAnsi="宋体" w:eastAsia="宋体" w:cs="宋体"/>
          <w:sz w:val="24"/>
        </w:rPr>
        <w:fldChar w:fldCharType="separate"/>
      </w:r>
      <w:r>
        <w:rPr>
          <w:rFonts w:hint="eastAsia" w:ascii="宋体" w:hAnsi="宋体" w:eastAsia="宋体" w:cs="宋体"/>
          <w:sz w:val="24"/>
        </w:rPr>
        <w:t>29</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"_Toc28904" </w:instrText>
      </w:r>
      <w:r>
        <w:fldChar w:fldCharType="separate"/>
      </w:r>
      <w:r>
        <w:rPr>
          <w:rFonts w:hint="eastAsia" w:ascii="宋体" w:hAnsi="宋体" w:eastAsia="宋体" w:cs="宋体"/>
          <w:sz w:val="24"/>
        </w:rPr>
        <w:t>一、投标函及投标函附录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_Toc28904 \h </w:instrText>
      </w:r>
      <w:r>
        <w:rPr>
          <w:rFonts w:hint="eastAsia" w:ascii="宋体" w:hAnsi="宋体" w:eastAsia="宋体" w:cs="宋体"/>
          <w:sz w:val="24"/>
        </w:rPr>
        <w:fldChar w:fldCharType="separate"/>
      </w:r>
      <w:r>
        <w:rPr>
          <w:rFonts w:hint="eastAsia" w:ascii="宋体" w:hAnsi="宋体" w:eastAsia="宋体" w:cs="宋体"/>
          <w:sz w:val="24"/>
        </w:rPr>
        <w:t>30</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"_Toc23357" </w:instrText>
      </w:r>
      <w:r>
        <w:fldChar w:fldCharType="separate"/>
      </w:r>
      <w:r>
        <w:rPr>
          <w:rFonts w:hint="eastAsia" w:ascii="宋体" w:hAnsi="宋体" w:eastAsia="宋体" w:cs="宋体"/>
          <w:sz w:val="24"/>
        </w:rPr>
        <w:t>二、法定代表人（负责人）身份证明及授权委托书</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_Toc23357 \h </w:instrText>
      </w:r>
      <w:r>
        <w:rPr>
          <w:rFonts w:hint="eastAsia" w:ascii="宋体" w:hAnsi="宋体" w:eastAsia="宋体" w:cs="宋体"/>
          <w:sz w:val="24"/>
        </w:rPr>
        <w:fldChar w:fldCharType="separate"/>
      </w:r>
      <w:r>
        <w:rPr>
          <w:rFonts w:hint="eastAsia" w:ascii="宋体" w:hAnsi="宋体" w:eastAsia="宋体" w:cs="宋体"/>
          <w:sz w:val="24"/>
        </w:rPr>
        <w:t>32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"_Toc16171" </w:instrText>
      </w:r>
      <w:r>
        <w:fldChar w:fldCharType="separate"/>
      </w:r>
      <w:r>
        <w:rPr>
          <w:rFonts w:hint="eastAsia" w:ascii="宋体" w:hAnsi="宋体" w:eastAsia="宋体" w:cs="宋体"/>
          <w:sz w:val="24"/>
        </w:rPr>
        <w:t>三、资格审查资料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_Toc16171 \h </w:instrText>
      </w:r>
      <w:r>
        <w:rPr>
          <w:rFonts w:hint="eastAsia" w:ascii="宋体" w:hAnsi="宋体" w:eastAsia="宋体" w:cs="宋体"/>
          <w:sz w:val="24"/>
        </w:rPr>
        <w:fldChar w:fldCharType="separate"/>
      </w:r>
      <w:r>
        <w:rPr>
          <w:rFonts w:hint="eastAsia" w:ascii="宋体" w:hAnsi="宋体" w:eastAsia="宋体" w:cs="宋体"/>
          <w:sz w:val="24"/>
        </w:rPr>
        <w:t>34</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"_Toc7928" </w:instrText>
      </w:r>
      <w:r>
        <w:fldChar w:fldCharType="separate"/>
      </w:r>
      <w:r>
        <w:rPr>
          <w:rFonts w:hint="eastAsia" w:ascii="宋体" w:hAnsi="宋体" w:eastAsia="宋体" w:cs="宋体"/>
          <w:sz w:val="24"/>
        </w:rPr>
        <w:t>四、拟投入团队成员情况表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_Toc7928 \h </w:instrText>
      </w:r>
      <w:r>
        <w:rPr>
          <w:rFonts w:hint="eastAsia" w:ascii="宋体" w:hAnsi="宋体" w:eastAsia="宋体" w:cs="宋体"/>
          <w:sz w:val="24"/>
        </w:rPr>
        <w:fldChar w:fldCharType="separate"/>
      </w:r>
      <w:r>
        <w:rPr>
          <w:rFonts w:hint="eastAsia" w:ascii="宋体" w:hAnsi="宋体" w:eastAsia="宋体" w:cs="宋体"/>
          <w:sz w:val="24"/>
        </w:rPr>
        <w:t>36</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"_Toc2684" </w:instrText>
      </w:r>
      <w:r>
        <w:fldChar w:fldCharType="separate"/>
      </w:r>
      <w:r>
        <w:rPr>
          <w:rFonts w:hint="eastAsia" w:ascii="宋体" w:hAnsi="宋体" w:eastAsia="宋体" w:cs="宋体"/>
          <w:sz w:val="24"/>
        </w:rPr>
        <w:t>五、服务方案及措施</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_Toc2684 \h </w:instrText>
      </w:r>
      <w:r>
        <w:rPr>
          <w:rFonts w:hint="eastAsia" w:ascii="宋体" w:hAnsi="宋体" w:eastAsia="宋体" w:cs="宋体"/>
          <w:sz w:val="24"/>
        </w:rPr>
        <w:fldChar w:fldCharType="separate"/>
      </w:r>
      <w:r>
        <w:rPr>
          <w:rFonts w:hint="eastAsia" w:ascii="宋体" w:hAnsi="宋体" w:eastAsia="宋体" w:cs="宋体"/>
          <w:sz w:val="24"/>
        </w:rPr>
        <w:t>37</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"_Toc17420" </w:instrText>
      </w:r>
      <w:r>
        <w:fldChar w:fldCharType="separate"/>
      </w:r>
      <w:r>
        <w:rPr>
          <w:rFonts w:hint="eastAsia" w:ascii="宋体" w:hAnsi="宋体" w:eastAsia="宋体" w:cs="宋体"/>
          <w:sz w:val="24"/>
        </w:rPr>
        <w:t>六、资金监管业绩和软件服务能力</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_Toc17420 \h </w:instrText>
      </w:r>
      <w:r>
        <w:rPr>
          <w:rFonts w:hint="eastAsia" w:ascii="宋体" w:hAnsi="宋体" w:eastAsia="宋体" w:cs="宋体"/>
          <w:sz w:val="24"/>
        </w:rPr>
        <w:fldChar w:fldCharType="separate"/>
      </w:r>
      <w:r>
        <w:rPr>
          <w:rFonts w:hint="eastAsia" w:ascii="宋体" w:hAnsi="宋体" w:eastAsia="宋体" w:cs="宋体"/>
          <w:sz w:val="24"/>
        </w:rPr>
        <w:t>38</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"_Toc8888" </w:instrText>
      </w:r>
      <w:r>
        <w:fldChar w:fldCharType="separate"/>
      </w:r>
      <w:r>
        <w:rPr>
          <w:rFonts w:hint="eastAsia" w:ascii="宋体" w:hAnsi="宋体" w:eastAsia="宋体" w:cs="宋体"/>
          <w:sz w:val="24"/>
        </w:rPr>
        <w:t>七、服务承诺</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_Toc8888 \h </w:instrText>
      </w:r>
      <w:r>
        <w:rPr>
          <w:rFonts w:hint="eastAsia" w:ascii="宋体" w:hAnsi="宋体" w:eastAsia="宋体" w:cs="宋体"/>
          <w:sz w:val="24"/>
        </w:rPr>
        <w:fldChar w:fldCharType="separate"/>
      </w:r>
      <w:r>
        <w:rPr>
          <w:rFonts w:hint="eastAsia" w:ascii="宋体" w:hAnsi="宋体" w:eastAsia="宋体" w:cs="宋体"/>
          <w:sz w:val="24"/>
        </w:rPr>
        <w:t>39</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746"/>
        </w:tabs>
        <w:spacing w:line="360" w:lineRule="auto"/>
        <w:rPr>
          <w:rFonts w:ascii="宋体" w:hAnsi="宋体" w:eastAsia="宋体" w:cs="宋体"/>
          <w:sz w:val="24"/>
        </w:rPr>
      </w:pPr>
      <w:r>
        <w:fldChar w:fldCharType="begin"/>
      </w:r>
      <w:r>
        <w:instrText xml:space="preserve"> HYPERLINK \l "_Toc9617" </w:instrText>
      </w:r>
      <w:r>
        <w:fldChar w:fldCharType="separate"/>
      </w:r>
      <w:r>
        <w:rPr>
          <w:rFonts w:hint="eastAsia" w:ascii="宋体" w:hAnsi="宋体" w:eastAsia="宋体" w:cs="宋体"/>
          <w:bCs/>
          <w:sz w:val="24"/>
          <w:shd w:val="clear" w:color="auto" w:fill="FFFFFF"/>
        </w:rPr>
        <w:t>八、其他资料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_Toc9617 \h </w:instrText>
      </w:r>
      <w:r>
        <w:rPr>
          <w:rFonts w:hint="eastAsia" w:ascii="宋体" w:hAnsi="宋体" w:eastAsia="宋体" w:cs="宋体"/>
          <w:sz w:val="24"/>
        </w:rPr>
        <w:fldChar w:fldCharType="separate"/>
      </w:r>
      <w:r>
        <w:rPr>
          <w:rFonts w:hint="eastAsia" w:ascii="宋体" w:hAnsi="宋体" w:eastAsia="宋体" w:cs="宋体"/>
          <w:sz w:val="24"/>
        </w:rPr>
        <w:t>40</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
        <w:spacing w:line="360" w:lineRule="auto"/>
        <w:ind w:firstLine="480"/>
        <w:rPr>
          <w:rFonts w:ascii="宋体" w:hAnsi="宋体" w:eastAsia="宋体" w:cs="宋体"/>
          <w:b/>
          <w:bCs/>
          <w:sz w:val="24"/>
        </w:rPr>
      </w:pPr>
      <w:r>
        <w:rPr>
          <w:rFonts w:hint="eastAsia" w:ascii="宋体" w:hAnsi="宋体" w:eastAsia="宋体" w:cs="宋体"/>
          <w:bCs/>
          <w:sz w:val="24"/>
        </w:rPr>
        <w:fldChar w:fldCharType="end"/>
      </w:r>
    </w:p>
    <w:p>
      <w:pPr>
        <w:pStyle w:val="4"/>
        <w:ind w:firstLine="964"/>
        <w:rPr>
          <w:rFonts w:ascii="宋体" w:hAnsi="宋体" w:eastAsia="宋体" w:cs="宋体"/>
          <w:b/>
          <w:bCs/>
          <w:sz w:val="48"/>
          <w:szCs w:val="56"/>
        </w:rPr>
      </w:pPr>
    </w:p>
    <w:p>
      <w:pPr>
        <w:pStyle w:val="4"/>
        <w:ind w:firstLine="964"/>
        <w:rPr>
          <w:rFonts w:ascii="宋体" w:hAnsi="宋体" w:eastAsia="宋体" w:cs="宋体"/>
          <w:b/>
          <w:bCs/>
          <w:sz w:val="48"/>
          <w:szCs w:val="56"/>
        </w:rPr>
      </w:pPr>
    </w:p>
    <w:p>
      <w:pPr>
        <w:pStyle w:val="4"/>
        <w:ind w:firstLine="964"/>
        <w:rPr>
          <w:rFonts w:ascii="宋体" w:hAnsi="宋体" w:eastAsia="宋体" w:cs="宋体"/>
          <w:b/>
          <w:bCs/>
          <w:sz w:val="48"/>
          <w:szCs w:val="56"/>
        </w:rPr>
      </w:pPr>
    </w:p>
    <w:p>
      <w:pPr>
        <w:pStyle w:val="4"/>
        <w:ind w:firstLine="964"/>
        <w:rPr>
          <w:rFonts w:ascii="宋体" w:hAnsi="宋体" w:eastAsia="宋体" w:cs="宋体"/>
          <w:b/>
          <w:bCs/>
          <w:sz w:val="48"/>
          <w:szCs w:val="56"/>
        </w:rPr>
      </w:pPr>
    </w:p>
    <w:p>
      <w:pPr>
        <w:pStyle w:val="4"/>
        <w:ind w:firstLine="964"/>
        <w:rPr>
          <w:rFonts w:ascii="宋体" w:hAnsi="宋体" w:eastAsia="宋体" w:cs="宋体"/>
          <w:b/>
          <w:bCs/>
          <w:sz w:val="48"/>
          <w:szCs w:val="56"/>
        </w:rPr>
      </w:pPr>
    </w:p>
    <w:p>
      <w:pPr>
        <w:pStyle w:val="4"/>
        <w:ind w:firstLine="964"/>
        <w:rPr>
          <w:rFonts w:ascii="宋体" w:hAnsi="宋体" w:eastAsia="宋体" w:cs="宋体"/>
          <w:b/>
          <w:bCs/>
          <w:sz w:val="48"/>
          <w:szCs w:val="56"/>
        </w:rPr>
      </w:pPr>
    </w:p>
    <w:p>
      <w:pPr>
        <w:pStyle w:val="4"/>
        <w:ind w:left="0" w:leftChars="0" w:firstLine="0" w:firstLineChars="0"/>
        <w:rPr>
          <w:rFonts w:ascii="宋体" w:hAnsi="宋体" w:eastAsia="宋体" w:cs="宋体"/>
          <w:b/>
          <w:bCs/>
          <w:sz w:val="48"/>
          <w:szCs w:val="56"/>
        </w:rPr>
      </w:pPr>
    </w:p>
    <w:p>
      <w:pPr>
        <w:spacing w:line="360" w:lineRule="auto"/>
        <w:jc w:val="center"/>
        <w:outlineLvl w:val="0"/>
        <w:rPr>
          <w:rFonts w:ascii="宋体" w:hAnsi="宋体" w:eastAsia="宋体" w:cs="宋体"/>
          <w:b/>
          <w:sz w:val="32"/>
          <w:szCs w:val="32"/>
        </w:rPr>
      </w:pPr>
      <w:bookmarkStart w:id="0" w:name="_Toc392494542"/>
      <w:bookmarkStart w:id="1" w:name="_Toc340650381"/>
      <w:bookmarkStart w:id="2" w:name="_Toc382318435"/>
      <w:bookmarkStart w:id="3" w:name="_Toc29995"/>
      <w:bookmarkStart w:id="4" w:name="_Toc341103626"/>
      <w:bookmarkStart w:id="5" w:name="_Toc88158573"/>
      <w:bookmarkStart w:id="6" w:name="_Toc341177230"/>
      <w:r>
        <w:rPr>
          <w:rFonts w:hint="eastAsia" w:ascii="宋体" w:hAnsi="宋体" w:eastAsia="宋体" w:cs="宋体"/>
          <w:b/>
          <w:sz w:val="32"/>
          <w:szCs w:val="32"/>
        </w:rPr>
        <w:t xml:space="preserve">第一章 </w:t>
      </w:r>
      <w:bookmarkEnd w:id="0"/>
      <w:r>
        <w:rPr>
          <w:rFonts w:hint="eastAsia" w:ascii="宋体" w:hAnsi="宋体" w:eastAsia="宋体" w:cs="宋体"/>
          <w:b/>
          <w:sz w:val="32"/>
          <w:szCs w:val="32"/>
        </w:rPr>
        <w:t>招标公告</w:t>
      </w:r>
      <w:bookmarkEnd w:id="1"/>
      <w:bookmarkEnd w:id="2"/>
      <w:bookmarkEnd w:id="3"/>
      <w:bookmarkEnd w:id="4"/>
      <w:bookmarkEnd w:id="5"/>
      <w:bookmarkEnd w:id="6"/>
    </w:p>
    <w:p>
      <w:pPr>
        <w:spacing w:line="360" w:lineRule="auto"/>
        <w:rPr>
          <w:rFonts w:ascii="宋体" w:hAnsi="宋体" w:eastAsia="宋体"/>
          <w:szCs w:val="21"/>
        </w:rPr>
      </w:pPr>
      <w:bookmarkStart w:id="7" w:name="_Toc35393629"/>
      <w:bookmarkStart w:id="8" w:name="_Toc35393798"/>
      <w:bookmarkStart w:id="9" w:name="_Toc28359012"/>
      <w:bookmarkStart w:id="10" w:name="_Toc28359089"/>
      <w:r>
        <w:rPr>
          <w:rFonts w:hint="eastAsia" w:ascii="宋体" w:hAnsi="宋体" w:eastAsia="宋体"/>
          <w:szCs w:val="21"/>
        </w:rPr>
        <w:t>项目概况</w:t>
      </w:r>
    </w:p>
    <w:p>
      <w:pPr>
        <w:spacing w:line="520" w:lineRule="exact"/>
        <w:ind w:firstLine="420" w:firstLineChars="200"/>
        <w:rPr>
          <w:rFonts w:hint="eastAsia" w:ascii="仿宋" w:hAnsi="仿宋" w:eastAsia="宋体" w:cs="仿宋"/>
          <w:color w:val="auto"/>
          <w:sz w:val="24"/>
          <w:szCs w:val="24"/>
          <w:lang w:val="en-US" w:eastAsia="zh-CN"/>
        </w:rPr>
      </w:pPr>
      <w:r>
        <w:rPr>
          <w:rFonts w:hint="eastAsia" w:ascii="宋体" w:hAnsi="宋体" w:eastAsia="宋体"/>
          <w:szCs w:val="21"/>
        </w:rPr>
        <w:t>开封市祥符区新建商品房预售资金监管专用账户托管银行服务项目的潜在投标人应在开封市公共资源交易信息网（http://www.kfsggzyjyw.cn/）获取招标文件，并于2023年</w:t>
      </w:r>
      <w:r>
        <w:rPr>
          <w:rFonts w:hint="eastAsia" w:ascii="宋体" w:hAnsi="宋体" w:eastAsia="宋体"/>
          <w:szCs w:val="21"/>
          <w:lang w:val="en-US" w:eastAsia="zh-CN"/>
        </w:rPr>
        <w:t>8</w:t>
      </w:r>
      <w:r>
        <w:rPr>
          <w:rFonts w:hint="eastAsia" w:ascii="宋体" w:hAnsi="宋体" w:eastAsia="宋体"/>
          <w:szCs w:val="21"/>
        </w:rPr>
        <w:t>月</w:t>
      </w:r>
      <w:r>
        <w:rPr>
          <w:rFonts w:hint="eastAsia" w:ascii="宋体" w:hAnsi="宋体" w:eastAsia="宋体"/>
          <w:szCs w:val="21"/>
          <w:lang w:val="en-US" w:eastAsia="zh-CN"/>
        </w:rPr>
        <w:t>11</w:t>
      </w:r>
      <w:r>
        <w:rPr>
          <w:rFonts w:hint="eastAsia" w:ascii="宋体" w:hAnsi="宋体" w:eastAsia="宋体"/>
          <w:szCs w:val="21"/>
        </w:rPr>
        <w:t>日09时30分（北京时间）前递交投标文件。</w:t>
      </w:r>
      <w:r>
        <w:rPr>
          <w:rFonts w:hint="eastAsia" w:ascii="宋体" w:hAnsi="宋体" w:eastAsia="宋体"/>
          <w:szCs w:val="21"/>
          <w:lang w:val="en-US" w:eastAsia="zh-CN"/>
        </w:rPr>
        <w:t xml:space="preserve"> </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一、项目基本情况</w:t>
      </w:r>
      <w:bookmarkEnd w:id="7"/>
      <w:bookmarkEnd w:id="8"/>
      <w:bookmarkEnd w:id="9"/>
      <w:bookmarkEnd w:id="10"/>
    </w:p>
    <w:p>
      <w:pPr>
        <w:spacing w:line="4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  1.项目编号：祥符公开招标-2023-31</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2.项目名称：开封市祥符区新建商品房预售资金监管专用账户托管银行服务项目</w:t>
      </w:r>
    </w:p>
    <w:p>
      <w:pPr>
        <w:spacing w:line="48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3.采购方式：公开招标</w:t>
      </w:r>
    </w:p>
    <w:p>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4.预算金额：</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元 </w:t>
      </w:r>
    </w:p>
    <w:tbl>
      <w:tblPr>
        <w:tblStyle w:val="22"/>
        <w:tblW w:w="9098"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68"/>
        <w:gridCol w:w="2795"/>
        <w:gridCol w:w="182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2" w:type="dxa"/>
            <w:vAlign w:val="center"/>
          </w:tcPr>
          <w:p>
            <w:pPr>
              <w:spacing w:line="320" w:lineRule="exact"/>
              <w:rPr>
                <w:rFonts w:ascii="宋体" w:hAnsi="宋体" w:cs="宋体"/>
                <w:color w:val="auto"/>
                <w:sz w:val="20"/>
                <w:szCs w:val="21"/>
              </w:rPr>
            </w:pPr>
            <w:r>
              <w:rPr>
                <w:rFonts w:hint="eastAsia" w:ascii="宋体" w:hAnsi="宋体" w:cs="宋体"/>
                <w:color w:val="auto"/>
                <w:sz w:val="20"/>
                <w:szCs w:val="21"/>
              </w:rPr>
              <w:t>序号</w:t>
            </w:r>
          </w:p>
        </w:tc>
        <w:tc>
          <w:tcPr>
            <w:tcW w:w="1968" w:type="dxa"/>
            <w:vAlign w:val="center"/>
          </w:tcPr>
          <w:p>
            <w:pPr>
              <w:spacing w:line="320" w:lineRule="exact"/>
              <w:rPr>
                <w:rFonts w:ascii="宋体" w:hAnsi="宋体" w:cs="宋体"/>
                <w:color w:val="auto"/>
                <w:sz w:val="20"/>
                <w:szCs w:val="21"/>
              </w:rPr>
            </w:pPr>
            <w:r>
              <w:rPr>
                <w:rFonts w:hint="eastAsia" w:ascii="宋体" w:hAnsi="宋体" w:cs="宋体"/>
                <w:color w:val="auto"/>
                <w:sz w:val="20"/>
                <w:szCs w:val="21"/>
              </w:rPr>
              <w:t>包号</w:t>
            </w:r>
          </w:p>
        </w:tc>
        <w:tc>
          <w:tcPr>
            <w:tcW w:w="2795" w:type="dxa"/>
            <w:vAlign w:val="center"/>
          </w:tcPr>
          <w:p>
            <w:pPr>
              <w:spacing w:line="320" w:lineRule="exact"/>
              <w:ind w:firstLine="400" w:firstLineChars="200"/>
              <w:rPr>
                <w:rFonts w:ascii="宋体" w:hAnsi="宋体" w:cs="宋体"/>
                <w:color w:val="auto"/>
                <w:sz w:val="20"/>
                <w:szCs w:val="21"/>
              </w:rPr>
            </w:pPr>
            <w:r>
              <w:rPr>
                <w:rFonts w:hint="eastAsia" w:ascii="宋体" w:hAnsi="宋体" w:cs="宋体"/>
                <w:color w:val="auto"/>
                <w:sz w:val="20"/>
                <w:szCs w:val="21"/>
              </w:rPr>
              <w:t>包名称</w:t>
            </w:r>
          </w:p>
        </w:tc>
        <w:tc>
          <w:tcPr>
            <w:tcW w:w="1820" w:type="dxa"/>
            <w:vAlign w:val="center"/>
          </w:tcPr>
          <w:p>
            <w:pPr>
              <w:spacing w:line="320" w:lineRule="exact"/>
              <w:rPr>
                <w:rFonts w:ascii="宋体" w:hAnsi="宋体" w:cs="宋体"/>
                <w:color w:val="auto"/>
                <w:sz w:val="20"/>
                <w:szCs w:val="21"/>
              </w:rPr>
            </w:pPr>
            <w:r>
              <w:rPr>
                <w:rFonts w:hint="eastAsia" w:ascii="宋体" w:hAnsi="宋体" w:cs="宋体"/>
                <w:color w:val="auto"/>
                <w:sz w:val="20"/>
                <w:szCs w:val="21"/>
              </w:rPr>
              <w:t>包预算（元）</w:t>
            </w:r>
          </w:p>
        </w:tc>
        <w:tc>
          <w:tcPr>
            <w:tcW w:w="1893" w:type="dxa"/>
            <w:vAlign w:val="center"/>
          </w:tcPr>
          <w:p>
            <w:pPr>
              <w:spacing w:line="320" w:lineRule="exact"/>
              <w:rPr>
                <w:rFonts w:ascii="宋体" w:hAnsi="宋体" w:cs="宋体"/>
                <w:color w:val="auto"/>
                <w:sz w:val="20"/>
                <w:szCs w:val="21"/>
              </w:rPr>
            </w:pPr>
            <w:r>
              <w:rPr>
                <w:rFonts w:hint="eastAsia" w:ascii="宋体" w:hAnsi="宋体" w:cs="宋体"/>
                <w:color w:val="auto"/>
                <w:sz w:val="20"/>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22"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w:t>
            </w:r>
          </w:p>
        </w:tc>
        <w:tc>
          <w:tcPr>
            <w:tcW w:w="1968" w:type="dxa"/>
            <w:vAlign w:val="center"/>
          </w:tcPr>
          <w:p>
            <w:pPr>
              <w:spacing w:line="320" w:lineRule="exact"/>
              <w:jc w:val="center"/>
              <w:rPr>
                <w:rFonts w:hint="default" w:ascii="宋体" w:hAnsi="宋体" w:eastAsia="宋体" w:cs="宋体"/>
                <w:color w:val="auto"/>
                <w:szCs w:val="21"/>
                <w:lang w:val="en-US" w:eastAsia="zh-CN"/>
              </w:rPr>
            </w:pPr>
            <w:r>
              <w:rPr>
                <w:rFonts w:hint="eastAsia" w:ascii="仿宋" w:hAnsi="仿宋" w:eastAsia="仿宋" w:cs="仿宋"/>
                <w:color w:val="auto"/>
                <w:sz w:val="24"/>
                <w:szCs w:val="24"/>
              </w:rPr>
              <w:t>祥符公开招标-2023-31</w:t>
            </w:r>
          </w:p>
        </w:tc>
        <w:tc>
          <w:tcPr>
            <w:tcW w:w="2795" w:type="dxa"/>
            <w:vAlign w:val="center"/>
          </w:tcPr>
          <w:p>
            <w:pPr>
              <w:spacing w:line="320" w:lineRule="exact"/>
              <w:jc w:val="center"/>
              <w:rPr>
                <w:rFonts w:ascii="宋体" w:hAnsi="宋体" w:cs="宋体"/>
                <w:color w:val="auto"/>
                <w:szCs w:val="21"/>
              </w:rPr>
            </w:pPr>
            <w:r>
              <w:rPr>
                <w:rFonts w:hint="eastAsia" w:ascii="仿宋" w:hAnsi="仿宋" w:eastAsia="仿宋" w:cs="仿宋"/>
                <w:color w:val="auto"/>
                <w:sz w:val="24"/>
                <w:szCs w:val="24"/>
              </w:rPr>
              <w:t>开封市祥符区新建商品房预售资金监管专用账户托管银行服务项目</w:t>
            </w:r>
          </w:p>
        </w:tc>
        <w:tc>
          <w:tcPr>
            <w:tcW w:w="1820" w:type="dxa"/>
            <w:vAlign w:val="center"/>
          </w:tcPr>
          <w:p>
            <w:pPr>
              <w:spacing w:line="320" w:lineRule="exact"/>
              <w:jc w:val="center"/>
              <w:rPr>
                <w:rFonts w:hint="eastAsia" w:ascii="宋体" w:hAnsi="宋体" w:cs="宋体" w:eastAsiaTheme="minorEastAsia"/>
                <w:color w:val="auto"/>
                <w:szCs w:val="21"/>
                <w:lang w:eastAsia="zh-CN"/>
              </w:rPr>
            </w:pPr>
            <w:r>
              <w:rPr>
                <w:rFonts w:hint="eastAsia" w:ascii="仿宋" w:hAnsi="仿宋" w:eastAsia="仿宋" w:cs="仿宋"/>
                <w:color w:val="auto"/>
                <w:sz w:val="24"/>
                <w:szCs w:val="24"/>
                <w:lang w:val="en-US" w:eastAsia="zh-CN"/>
              </w:rPr>
              <w:t>0</w:t>
            </w:r>
          </w:p>
        </w:tc>
        <w:tc>
          <w:tcPr>
            <w:tcW w:w="1893" w:type="dxa"/>
            <w:vAlign w:val="center"/>
          </w:tcPr>
          <w:p>
            <w:pPr>
              <w:spacing w:line="32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0</w:t>
            </w:r>
          </w:p>
        </w:tc>
      </w:tr>
    </w:tbl>
    <w:p>
      <w:pPr>
        <w:pStyle w:val="4"/>
        <w:ind w:left="0" w:leftChars="0" w:firstLine="0" w:firstLineChars="0"/>
        <w:rPr>
          <w:rFonts w:ascii="仿宋" w:hAnsi="仿宋" w:eastAsia="仿宋" w:cs="仿宋"/>
          <w:color w:val="auto"/>
          <w:sz w:val="24"/>
          <w:szCs w:val="24"/>
        </w:rPr>
      </w:pPr>
      <w:r>
        <w:rPr>
          <w:rFonts w:hint="eastAsia" w:ascii="仿宋" w:hAnsi="仿宋" w:eastAsia="仿宋" w:cs="仿宋"/>
          <w:color w:val="auto"/>
          <w:sz w:val="24"/>
          <w:szCs w:val="24"/>
        </w:rPr>
        <w:t xml:space="preserve"> 5.采购需求</w:t>
      </w:r>
      <w:r>
        <w:rPr>
          <w:rFonts w:hint="eastAsia" w:hAnsi="宋体" w:eastAsia="宋体" w:cs="Times New Roman"/>
          <w:color w:val="auto"/>
          <w:kern w:val="2"/>
          <w:sz w:val="21"/>
          <w:szCs w:val="21"/>
        </w:rPr>
        <w:t>（包</w:t>
      </w:r>
      <w:r>
        <w:rPr>
          <w:rFonts w:hint="eastAsia" w:ascii="仿宋" w:hAnsi="仿宋" w:eastAsia="仿宋" w:cs="仿宋"/>
          <w:color w:val="auto"/>
          <w:kern w:val="2"/>
          <w:sz w:val="24"/>
          <w:szCs w:val="24"/>
          <w:lang w:val="en-US" w:eastAsia="zh-CN" w:bidi="ar-SA"/>
        </w:rPr>
        <w:t>括但不限于标的的名称、数量、简要技术需求或服务要求等）</w:t>
      </w:r>
      <w:r>
        <w:rPr>
          <w:rFonts w:hint="eastAsia" w:ascii="仿宋" w:hAnsi="仿宋" w:eastAsia="仿宋" w:cs="仿宋"/>
          <w:color w:val="auto"/>
          <w:sz w:val="24"/>
          <w:szCs w:val="24"/>
        </w:rPr>
        <w:t>：</w:t>
      </w:r>
    </w:p>
    <w:p>
      <w:pPr>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.1项目概况：选定多家银行作为开封市祥符区新建商品房预售资金监管银行。</w:t>
      </w:r>
    </w:p>
    <w:p>
      <w:pPr>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.2服务内容：开封市祥符区新建商品房预售资金监管业务的服务。</w:t>
      </w:r>
    </w:p>
    <w:p>
      <w:pPr>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.3 服务期限：3年（如国家和上级政策有变化的，应遵照政策要求执行；如无政策调整，服务期满后，银行无违规行为的按照每一个年度依次顺延；出现违规行为且整改不力的，解除协议，自动终止银行新建商品房预售资金监管业务资格）。</w:t>
      </w:r>
    </w:p>
    <w:p>
      <w:pPr>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质量要求：符合国家现行标准。</w:t>
      </w:r>
    </w:p>
    <w:p>
      <w:pPr>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.5 服务范围：开封市祥符区境内。</w:t>
      </w:r>
    </w:p>
    <w:p>
      <w:pPr>
        <w:spacing w:line="48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lang w:val="en-US" w:eastAsia="zh-CN"/>
        </w:rPr>
        <w:t>5.6</w:t>
      </w:r>
      <w:r>
        <w:rPr>
          <w:rFonts w:hint="eastAsia" w:ascii="仿宋" w:hAnsi="仿宋" w:eastAsia="仿宋" w:cs="仿宋"/>
          <w:color w:val="auto"/>
          <w:sz w:val="24"/>
          <w:szCs w:val="24"/>
        </w:rPr>
        <w:t>标段划分：本项目共分为一个标段。</w:t>
      </w:r>
    </w:p>
    <w:p>
      <w:pPr>
        <w:spacing w:line="4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开封市祥符区新建商品房预售资金监管专用账户托管银行服务项目 </w:t>
      </w:r>
      <w:r>
        <w:rPr>
          <w:rFonts w:hint="eastAsia" w:ascii="仿宋" w:hAnsi="仿宋" w:eastAsia="仿宋" w:cs="仿宋"/>
          <w:color w:val="auto"/>
          <w:sz w:val="24"/>
          <w:szCs w:val="24"/>
          <w:lang w:val="en-US" w:eastAsia="zh-CN"/>
        </w:rPr>
        <w:t xml:space="preserve"> </w:t>
      </w:r>
    </w:p>
    <w:p>
      <w:pPr>
        <w:spacing w:line="480" w:lineRule="exact"/>
        <w:ind w:firstLine="240" w:firstLineChars="100"/>
        <w:rPr>
          <w:rFonts w:ascii="仿宋" w:hAnsi="仿宋" w:eastAsia="仿宋" w:cs="仿宋"/>
          <w:color w:val="auto"/>
          <w:sz w:val="24"/>
          <w:szCs w:val="24"/>
          <w:u w:val="single"/>
        </w:rPr>
      </w:pPr>
      <w:r>
        <w:rPr>
          <w:rFonts w:hint="eastAsia" w:ascii="仿宋" w:hAnsi="仿宋" w:eastAsia="仿宋" w:cs="仿宋"/>
          <w:color w:val="auto"/>
          <w:sz w:val="24"/>
          <w:szCs w:val="24"/>
        </w:rPr>
        <w:t>6.合同履行期限：3年</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7.本项目是否接受联合体投标：否</w:t>
      </w:r>
    </w:p>
    <w:p>
      <w:pPr>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8.是否接受进口产品：否</w:t>
      </w:r>
    </w:p>
    <w:p>
      <w:pPr>
        <w:spacing w:line="480" w:lineRule="exact"/>
        <w:rPr>
          <w:rFonts w:ascii="仿宋" w:hAnsi="仿宋" w:eastAsia="仿宋" w:cs="仿宋"/>
          <w:color w:val="auto"/>
          <w:sz w:val="24"/>
          <w:szCs w:val="24"/>
        </w:rPr>
      </w:pPr>
      <w:bookmarkStart w:id="11" w:name="_Toc28359013"/>
      <w:bookmarkStart w:id="12" w:name="_Toc35393630"/>
      <w:bookmarkStart w:id="13" w:name="_Toc28359090"/>
      <w:bookmarkStart w:id="14" w:name="_Toc35393799"/>
      <w:r>
        <w:rPr>
          <w:rFonts w:hint="eastAsia" w:ascii="仿宋" w:hAnsi="仿宋" w:eastAsia="仿宋" w:cs="仿宋"/>
          <w:color w:val="auto"/>
          <w:sz w:val="24"/>
          <w:szCs w:val="24"/>
        </w:rPr>
        <w:t>二、申请人的资格要求：</w:t>
      </w:r>
      <w:bookmarkEnd w:id="11"/>
      <w:bookmarkEnd w:id="12"/>
      <w:bookmarkEnd w:id="13"/>
      <w:bookmarkEnd w:id="14"/>
    </w:p>
    <w:p>
      <w:pPr>
        <w:spacing w:line="48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pPr>
        <w:spacing w:line="480" w:lineRule="exact"/>
        <w:rPr>
          <w:rFonts w:ascii="仿宋" w:hAnsi="仿宋" w:eastAsia="仿宋" w:cs="仿宋"/>
          <w:color w:val="auto"/>
          <w:sz w:val="24"/>
          <w:szCs w:val="24"/>
        </w:rPr>
      </w:pPr>
      <w:bookmarkStart w:id="15" w:name="_Toc28359091"/>
      <w:bookmarkStart w:id="16" w:name="_Toc28359014"/>
      <w:r>
        <w:rPr>
          <w:rFonts w:hint="eastAsia" w:ascii="仿宋" w:hAnsi="仿宋" w:eastAsia="仿宋" w:cs="仿宋"/>
          <w:color w:val="auto"/>
          <w:sz w:val="24"/>
          <w:szCs w:val="24"/>
        </w:rPr>
        <w:t xml:space="preserve">  2.落实政府采购政策需满足的资格要求：</w:t>
      </w:r>
      <w:r>
        <w:rPr>
          <w:rFonts w:hint="eastAsia" w:ascii="仿宋" w:hAnsi="仿宋" w:eastAsia="仿宋" w:cs="仿宋"/>
          <w:color w:val="auto"/>
          <w:sz w:val="24"/>
          <w:szCs w:val="24"/>
          <w:lang w:val="en-US" w:eastAsia="zh-CN"/>
        </w:rPr>
        <w:t>无</w:t>
      </w:r>
    </w:p>
    <w:p>
      <w:pPr>
        <w:numPr>
          <w:ilvl w:val="255"/>
          <w:numId w:val="0"/>
        </w:numPr>
        <w:spacing w:line="480" w:lineRule="exact"/>
        <w:ind w:left="240"/>
        <w:rPr>
          <w:rFonts w:ascii="仿宋" w:hAnsi="仿宋" w:eastAsia="仿宋" w:cs="仿宋"/>
          <w:color w:val="auto"/>
          <w:sz w:val="24"/>
          <w:szCs w:val="24"/>
        </w:rPr>
      </w:pPr>
      <w:r>
        <w:rPr>
          <w:rFonts w:hint="eastAsia" w:ascii="仿宋" w:hAnsi="仿宋" w:eastAsia="仿宋" w:cs="仿宋"/>
          <w:color w:val="auto"/>
          <w:sz w:val="24"/>
          <w:szCs w:val="24"/>
        </w:rPr>
        <w:t>3.本项目的特定资格要求：</w:t>
      </w:r>
    </w:p>
    <w:p>
      <w:pPr>
        <w:spacing w:line="48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3.1、满足《中华人民共和国政府采购法》第二十二条规定；</w:t>
      </w:r>
    </w:p>
    <w:p>
      <w:pPr>
        <w:spacing w:line="480" w:lineRule="exact"/>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（1）具有独立承担民事责任的能力；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须是在中国境内注册、拥有合法经营权的国有独资银行或股份制银行，具备有效的三证合一的营业执照，且在开封市祥符区境内具有营业网点（不含自助银行）的金融机构。（同一银行及下设的分支机构视为一个投标人）</w:t>
      </w:r>
      <w:r>
        <w:rPr>
          <w:rFonts w:hint="eastAsia" w:ascii="仿宋" w:hAnsi="仿宋" w:eastAsia="仿宋" w:cs="仿宋"/>
          <w:color w:val="auto"/>
          <w:sz w:val="24"/>
          <w:szCs w:val="24"/>
          <w:lang w:eastAsia="zh-CN"/>
        </w:rPr>
        <w:t>】</w:t>
      </w:r>
    </w:p>
    <w:p>
      <w:pPr>
        <w:spacing w:line="480" w:lineRule="exact"/>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（2）具有良好的商业信誉和健全的财务会计制度；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提供2020年、2021年、2022年任意1年的财务审计报告；成立时间不足的企业按实际成立年限提供，新成立的公司提供资信证明。</w:t>
      </w:r>
      <w:r>
        <w:rPr>
          <w:rFonts w:hint="eastAsia" w:ascii="仿宋" w:hAnsi="仿宋" w:eastAsia="仿宋" w:cs="仿宋"/>
          <w:color w:val="auto"/>
          <w:sz w:val="24"/>
          <w:szCs w:val="24"/>
          <w:lang w:eastAsia="zh-CN"/>
        </w:rPr>
        <w:t>】</w:t>
      </w:r>
    </w:p>
    <w:p>
      <w:pPr>
        <w:spacing w:line="480" w:lineRule="exact"/>
        <w:ind w:firstLine="240" w:firstLineChars="100"/>
        <w:rPr>
          <w:rFonts w:hint="eastAsia" w:ascii="仿宋" w:hAnsi="仿宋" w:eastAsia="宋体" w:cs="仿宋"/>
          <w:color w:val="auto"/>
          <w:sz w:val="24"/>
          <w:szCs w:val="24"/>
          <w:lang w:eastAsia="zh-CN"/>
        </w:rPr>
      </w:pPr>
      <w:r>
        <w:rPr>
          <w:rFonts w:hint="eastAsia" w:ascii="仿宋" w:hAnsi="仿宋" w:eastAsia="仿宋" w:cs="仿宋"/>
          <w:color w:val="auto"/>
          <w:sz w:val="24"/>
          <w:szCs w:val="24"/>
        </w:rPr>
        <w:t>（3）具有履行合同所必需的设备和专业技术能力；</w:t>
      </w:r>
      <w:r>
        <w:rPr>
          <w:rFonts w:hint="eastAsia" w:ascii="仿宋" w:hAnsi="仿宋" w:eastAsia="仿宋" w:cs="仿宋"/>
          <w:color w:val="auto"/>
          <w:sz w:val="24"/>
          <w:szCs w:val="24"/>
          <w:lang w:eastAsia="zh-CN"/>
        </w:rPr>
        <w:t>【</w:t>
      </w:r>
      <w:r>
        <w:rPr>
          <w:rFonts w:hint="eastAsia" w:eastAsia="宋体" w:cs="宋体"/>
          <w:szCs w:val="21"/>
        </w:rPr>
        <w:t>提供声明函</w:t>
      </w:r>
      <w:r>
        <w:rPr>
          <w:rFonts w:hint="eastAsia" w:ascii="仿宋" w:hAnsi="仿宋" w:eastAsia="仿宋" w:cs="仿宋"/>
          <w:color w:val="auto"/>
          <w:sz w:val="24"/>
          <w:szCs w:val="24"/>
          <w:lang w:eastAsia="zh-CN"/>
        </w:rPr>
        <w:t>】</w:t>
      </w:r>
    </w:p>
    <w:p>
      <w:pPr>
        <w:spacing w:line="480" w:lineRule="exact"/>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（4）有依法缴纳税收和社会保障资金的良好记录；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提供自2023年1月1日以来任意3个月的纳税凭证和缴纳养老保险证明，依法免税或不需要缴纳社会保障资金的投标人，应提供相应证明文件。</w:t>
      </w:r>
      <w:r>
        <w:rPr>
          <w:rFonts w:hint="eastAsia" w:ascii="仿宋" w:hAnsi="仿宋" w:eastAsia="仿宋" w:cs="仿宋"/>
          <w:color w:val="auto"/>
          <w:sz w:val="24"/>
          <w:szCs w:val="24"/>
          <w:lang w:eastAsia="zh-CN"/>
        </w:rPr>
        <w:t>】</w:t>
      </w:r>
    </w:p>
    <w:p>
      <w:pPr>
        <w:spacing w:line="48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r>
        <w:rPr>
          <w:rFonts w:hint="eastAsia" w:ascii="仿宋" w:hAnsi="仿宋" w:eastAsia="仿宋" w:cs="仿宋"/>
          <w:color w:val="auto"/>
          <w:sz w:val="24"/>
          <w:szCs w:val="24"/>
          <w:lang w:eastAsia="zh-CN"/>
        </w:rPr>
        <w:t>【</w:t>
      </w:r>
      <w:r>
        <w:rPr>
          <w:rFonts w:hint="eastAsia" w:eastAsia="宋体" w:cs="宋体"/>
          <w:szCs w:val="21"/>
        </w:rPr>
        <w:t>提供声明函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spacing w:line="48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 xml:space="preserve">3.2、投标人须具有中国银行业监督管理委员会（简称银监会）依法颁发的金融许可证。 </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不得存在财库[2016]125号《关于在政府采购活动中查询及使用信用记录有关问题的通知》中拒绝其参与政府采购活动的行为。投标单位应通过“信用中国”网站(www.creditchina.gov.cn)查询“失信被执行人”和“重大税收违法失信主体”、中国政府采购网(www.ccgp.gov.cn)查询“政府采购严重违法失信行为记录名单”渠道查询自身信用记录，并提供以上查询截图（须附在投标文件中）。</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、本次招标不接受联合体投标。</w:t>
      </w:r>
    </w:p>
    <w:bookmarkEnd w:id="15"/>
    <w:bookmarkEnd w:id="16"/>
    <w:p>
      <w:pPr>
        <w:spacing w:line="480" w:lineRule="exact"/>
        <w:rPr>
          <w:rFonts w:ascii="仿宋" w:hAnsi="仿宋" w:eastAsia="仿宋" w:cs="仿宋"/>
          <w:color w:val="auto"/>
          <w:sz w:val="24"/>
          <w:szCs w:val="24"/>
        </w:rPr>
      </w:pPr>
      <w:bookmarkStart w:id="17" w:name="_Toc35393631"/>
      <w:bookmarkStart w:id="18" w:name="_Toc35393800"/>
      <w:r>
        <w:rPr>
          <w:rFonts w:hint="eastAsia" w:ascii="仿宋" w:hAnsi="仿宋" w:eastAsia="仿宋" w:cs="仿宋"/>
          <w:color w:val="auto"/>
          <w:sz w:val="24"/>
          <w:szCs w:val="24"/>
        </w:rPr>
        <w:t>三、获取</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bookmarkEnd w:id="17"/>
      <w:bookmarkEnd w:id="18"/>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bookmarkStart w:id="19" w:name="_Toc35393801"/>
      <w:bookmarkStart w:id="20" w:name="_Toc28359015"/>
      <w:bookmarkStart w:id="21" w:name="_Toc28359092"/>
      <w:bookmarkStart w:id="22" w:name="_Toc35393632"/>
      <w:r>
        <w:rPr>
          <w:rFonts w:hint="eastAsia" w:ascii="仿宋" w:hAnsi="仿宋" w:eastAsia="仿宋" w:cs="仿宋"/>
          <w:color w:val="auto"/>
          <w:sz w:val="24"/>
          <w:szCs w:val="24"/>
        </w:rPr>
        <w:t>1、时间：2023年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日至2023年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日，每天上午09:00至12:00，下午12:00至17:00（北京时间</w:t>
      </w:r>
      <w:r>
        <w:rPr>
          <w:rFonts w:hint="eastAsia" w:ascii="宋体" w:hAnsi="宋体" w:cs="宋体"/>
          <w:color w:val="auto"/>
          <w:szCs w:val="21"/>
          <w:shd w:val="clear" w:color="auto" w:fill="FFFFFF"/>
        </w:rPr>
        <w:t>，法定节假日除外。</w:t>
      </w:r>
      <w:r>
        <w:rPr>
          <w:rFonts w:hint="eastAsia" w:ascii="仿宋" w:hAnsi="仿宋" w:eastAsia="仿宋" w:cs="仿宋"/>
          <w:color w:val="auto"/>
          <w:sz w:val="24"/>
          <w:szCs w:val="24"/>
        </w:rPr>
        <w:t>）</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2.地点：开封市公共资源交易网（http://www.kfsggzyjyw.cn）会员系统网上下载。</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3.方式：投标人应注册成为开封市公共资源交易中心网站会员并取得 CA密钥，在开封市公共资源交易中心网站登录“政采、工程业务系统”并按网上提示下载招标文件及资料。</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潜在投标人、供应商可打开开封市公共资源交易中心网站http://www.kfsggzyjyw.cn首页“流程公开”里查询招标文件。</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4.售价：0元。</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四、</w:t>
      </w:r>
      <w:bookmarkEnd w:id="19"/>
      <w:bookmarkEnd w:id="20"/>
      <w:bookmarkEnd w:id="21"/>
      <w:bookmarkEnd w:id="22"/>
      <w:r>
        <w:rPr>
          <w:rFonts w:hint="eastAsia" w:ascii="仿宋" w:hAnsi="仿宋" w:eastAsia="仿宋" w:cs="仿宋"/>
          <w:color w:val="auto"/>
          <w:sz w:val="24"/>
          <w:szCs w:val="24"/>
        </w:rPr>
        <w:t>投标截止时间及地点</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1.</w:t>
      </w:r>
      <w:r>
        <w:rPr>
          <w:rFonts w:hint="eastAsia" w:ascii="仿宋" w:hAnsi="仿宋" w:eastAsia="仿宋" w:cs="仿宋"/>
          <w:color w:val="auto"/>
          <w:sz w:val="24"/>
          <w:szCs w:val="24"/>
          <w:lang w:val="en-US" w:eastAsia="zh-CN"/>
        </w:rPr>
        <w:t>截止</w:t>
      </w:r>
      <w:r>
        <w:rPr>
          <w:rFonts w:hint="eastAsia" w:ascii="仿宋" w:hAnsi="仿宋" w:eastAsia="仿宋" w:cs="仿宋"/>
          <w:color w:val="auto"/>
          <w:sz w:val="24"/>
          <w:szCs w:val="24"/>
        </w:rPr>
        <w:t>时间：2023年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日09点</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分（北京时间）</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2.地点：开封市公共资源交易中心网站http://www.kfsggzyjyw.cn/kfggzy/会员系统中加密上传，加密电子投标文件逾期上传的，招标人不予受理。</w:t>
      </w:r>
    </w:p>
    <w:p>
      <w:pPr>
        <w:spacing w:line="480" w:lineRule="exact"/>
        <w:rPr>
          <w:rFonts w:ascii="仿宋" w:hAnsi="仿宋" w:eastAsia="仿宋" w:cs="仿宋"/>
          <w:color w:val="auto"/>
          <w:sz w:val="24"/>
          <w:szCs w:val="24"/>
        </w:rPr>
      </w:pPr>
      <w:bookmarkStart w:id="23" w:name="_Toc28359093"/>
      <w:bookmarkStart w:id="24" w:name="_Toc35393802"/>
      <w:bookmarkStart w:id="25" w:name="_Toc35393633"/>
      <w:bookmarkStart w:id="26" w:name="_Toc28359016"/>
      <w:r>
        <w:rPr>
          <w:rFonts w:hint="eastAsia" w:ascii="仿宋" w:hAnsi="仿宋" w:eastAsia="仿宋" w:cs="仿宋"/>
          <w:color w:val="auto"/>
          <w:sz w:val="24"/>
          <w:szCs w:val="24"/>
        </w:rPr>
        <w:t>五、</w:t>
      </w:r>
      <w:bookmarkEnd w:id="23"/>
      <w:bookmarkEnd w:id="24"/>
      <w:bookmarkEnd w:id="25"/>
      <w:bookmarkEnd w:id="26"/>
      <w:r>
        <w:rPr>
          <w:rFonts w:hint="eastAsia" w:ascii="仿宋" w:hAnsi="仿宋" w:eastAsia="仿宋" w:cs="仿宋"/>
          <w:color w:val="auto"/>
          <w:sz w:val="24"/>
          <w:szCs w:val="24"/>
        </w:rPr>
        <w:t>开标时间及地点</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1.时间：2023年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日09点</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分（北京时间）</w:t>
      </w:r>
    </w:p>
    <w:p>
      <w:pPr>
        <w:spacing w:line="48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2.地点：</w:t>
      </w:r>
      <w:bookmarkStart w:id="27" w:name="_Toc28359094"/>
      <w:bookmarkStart w:id="28" w:name="_Toc28359017"/>
      <w:bookmarkStart w:id="29" w:name="_Toc35393803"/>
      <w:bookmarkStart w:id="30" w:name="_Toc35393634"/>
      <w:r>
        <w:rPr>
          <w:rFonts w:hint="eastAsia" w:ascii="仿宋" w:hAnsi="仿宋" w:eastAsia="仿宋" w:cs="仿宋"/>
          <w:color w:val="auto"/>
          <w:sz w:val="24"/>
          <w:szCs w:val="24"/>
        </w:rPr>
        <w:t>开封市祥符区经一路与纬三路交叉口市民之家10楼。</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六、</w:t>
      </w:r>
      <w:bookmarkEnd w:id="27"/>
      <w:bookmarkEnd w:id="28"/>
      <w:bookmarkEnd w:id="29"/>
      <w:bookmarkEnd w:id="30"/>
      <w:r>
        <w:rPr>
          <w:rFonts w:hint="eastAsia" w:ascii="仿宋" w:hAnsi="仿宋" w:eastAsia="仿宋" w:cs="仿宋"/>
          <w:color w:val="auto"/>
          <w:sz w:val="24"/>
          <w:szCs w:val="24"/>
        </w:rPr>
        <w:t>发布公告的媒体和</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公告期限</w:t>
      </w:r>
    </w:p>
    <w:p>
      <w:pPr>
        <w:spacing w:line="480" w:lineRule="exact"/>
        <w:rPr>
          <w:rFonts w:ascii="仿宋" w:hAnsi="仿宋" w:eastAsia="仿宋" w:cs="仿宋"/>
          <w:color w:val="auto"/>
          <w:sz w:val="24"/>
          <w:szCs w:val="24"/>
        </w:rPr>
      </w:pPr>
      <w:bookmarkStart w:id="31" w:name="_Toc35393804"/>
      <w:bookmarkStart w:id="32" w:name="_Toc35393635"/>
      <w:r>
        <w:rPr>
          <w:rFonts w:hint="eastAsia" w:ascii="仿宋" w:hAnsi="仿宋" w:eastAsia="仿宋" w:cs="仿宋"/>
          <w:color w:val="auto"/>
          <w:sz w:val="24"/>
          <w:szCs w:val="24"/>
        </w:rPr>
        <w:t xml:space="preserve">    本次招标公告在《河南省政府采购网》、《中国招标投标公共服务平台》、《开封市公共资源交易信息网》上发布。招标公告期限为五个工作日。</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七、其他补充事宜</w:t>
      </w:r>
      <w:bookmarkEnd w:id="31"/>
      <w:bookmarkEnd w:id="32"/>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1、本项目采用“远程不见面”开标方式,投标人无需到达现场提交原件资料、无需到开封市</w:t>
      </w:r>
      <w:r>
        <w:rPr>
          <w:rFonts w:hint="eastAsia" w:ascii="仿宋" w:hAnsi="仿宋" w:eastAsia="仿宋" w:cs="仿宋"/>
          <w:color w:val="auto"/>
          <w:sz w:val="24"/>
          <w:szCs w:val="24"/>
          <w:lang w:val="en-US" w:eastAsia="zh-CN"/>
        </w:rPr>
        <w:t>祥符区</w:t>
      </w:r>
      <w:r>
        <w:rPr>
          <w:rFonts w:hint="eastAsia" w:ascii="仿宋" w:hAnsi="仿宋" w:eastAsia="仿宋" w:cs="仿宋"/>
          <w:color w:val="auto"/>
          <w:sz w:val="24"/>
          <w:szCs w:val="24"/>
        </w:rPr>
        <w:t>公共资源交易中心现场参加开标会议；投标人应当在开标时间前,登录不见面开标大厅,在线准时参加开标活动并进行投标文件解密、答疑澄清等。（系统解密时长默认为40分钟，错过解密时长者视为自动放弃本次投标）。</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文件获取：（1）投标人系统操作手册在开封市公共资源交易信息网http://www.kfsggzyjyw.cn查看。（2）获取采购文件后，投标人请到开封市公共资源交易信息网登录政采、工程业务系统，凭CA密钥登录会员系统，在“组件下载”中下载最新版本的投标文件制作工具安装包，并使用安装后的最新版本投标文件制作工具制作电子投标文件。</w:t>
      </w:r>
    </w:p>
    <w:p>
      <w:pPr>
        <w:spacing w:line="480" w:lineRule="exact"/>
        <w:rPr>
          <w:rFonts w:ascii="仿宋" w:hAnsi="仿宋" w:eastAsia="仿宋" w:cs="仿宋"/>
          <w:color w:val="auto"/>
          <w:sz w:val="24"/>
          <w:szCs w:val="24"/>
        </w:rPr>
      </w:pPr>
      <w:bookmarkStart w:id="33" w:name="_Toc35393805"/>
      <w:bookmarkStart w:id="34" w:name="_Toc28359018"/>
      <w:bookmarkStart w:id="35" w:name="_Toc35393636"/>
      <w:bookmarkStart w:id="36" w:name="_Toc28359095"/>
      <w:r>
        <w:rPr>
          <w:rFonts w:hint="eastAsia" w:ascii="仿宋" w:hAnsi="仿宋" w:eastAsia="仿宋" w:cs="仿宋"/>
          <w:color w:val="auto"/>
          <w:sz w:val="24"/>
          <w:szCs w:val="24"/>
        </w:rPr>
        <w:t>八、凡对本次采购提出询问，请按以下方式联系。</w:t>
      </w:r>
      <w:bookmarkEnd w:id="33"/>
      <w:bookmarkEnd w:id="34"/>
      <w:bookmarkEnd w:id="35"/>
      <w:bookmarkEnd w:id="36"/>
    </w:p>
    <w:p>
      <w:pPr>
        <w:spacing w:line="480" w:lineRule="exact"/>
        <w:rPr>
          <w:rFonts w:ascii="仿宋" w:hAnsi="仿宋" w:eastAsia="仿宋" w:cs="仿宋"/>
          <w:color w:val="auto"/>
          <w:sz w:val="24"/>
          <w:szCs w:val="24"/>
        </w:rPr>
      </w:pPr>
      <w:bookmarkStart w:id="37" w:name="_Toc28359019"/>
      <w:bookmarkStart w:id="38" w:name="_Toc35393637"/>
      <w:bookmarkStart w:id="39" w:name="_Toc35393806"/>
      <w:bookmarkStart w:id="40" w:name="_Toc28359096"/>
      <w:r>
        <w:rPr>
          <w:rFonts w:hint="eastAsia" w:ascii="仿宋" w:hAnsi="仿宋" w:eastAsia="仿宋" w:cs="仿宋"/>
          <w:color w:val="auto"/>
          <w:sz w:val="24"/>
          <w:szCs w:val="24"/>
        </w:rPr>
        <w:t xml:space="preserve">   1.采购人信息</w:t>
      </w:r>
      <w:bookmarkEnd w:id="37"/>
      <w:bookmarkEnd w:id="38"/>
      <w:bookmarkEnd w:id="39"/>
      <w:bookmarkEnd w:id="40"/>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名    称：</w:t>
      </w:r>
      <w:r>
        <w:rPr>
          <w:rFonts w:hint="eastAsia" w:ascii="宋体" w:hAnsi="宋体" w:eastAsia="宋体" w:cs="宋体"/>
          <w:kern w:val="0"/>
          <w:szCs w:val="21"/>
          <w:shd w:val="clear" w:color="auto" w:fill="FFFFFF"/>
          <w:lang w:eastAsia="zh-CN"/>
        </w:rPr>
        <w:t>开封市祥符区住房和城乡建设局</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地    址：</w:t>
      </w:r>
      <w:r>
        <w:rPr>
          <w:rFonts w:hint="eastAsia" w:ascii="宋体" w:hAnsi="宋体" w:eastAsia="宋体" w:cs="宋体"/>
          <w:kern w:val="0"/>
          <w:szCs w:val="21"/>
          <w:shd w:val="clear" w:color="auto" w:fill="FFFFFF"/>
        </w:rPr>
        <w:t>祥符区恒福街26号</w:t>
      </w:r>
      <w:r>
        <w:rPr>
          <w:rFonts w:hint="eastAsia" w:ascii="仿宋" w:hAnsi="仿宋" w:eastAsia="仿宋" w:cs="仿宋"/>
          <w:color w:val="auto"/>
          <w:sz w:val="24"/>
          <w:szCs w:val="24"/>
        </w:rPr>
        <w:t>　</w:t>
      </w:r>
    </w:p>
    <w:p>
      <w:pPr>
        <w:spacing w:line="480" w:lineRule="exact"/>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宋体" w:hAnsi="宋体" w:eastAsia="宋体" w:cs="宋体"/>
          <w:kern w:val="0"/>
          <w:szCs w:val="21"/>
          <w:shd w:val="clear" w:color="auto" w:fill="FFFFFF"/>
          <w:lang w:val="en-US" w:eastAsia="zh-CN"/>
        </w:rPr>
        <w:t>聂女士</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联系电话：1889813650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　 </w:t>
      </w:r>
    </w:p>
    <w:p>
      <w:pPr>
        <w:spacing w:line="480" w:lineRule="exact"/>
        <w:rPr>
          <w:rFonts w:ascii="仿宋" w:hAnsi="仿宋" w:eastAsia="仿宋" w:cs="仿宋"/>
          <w:color w:val="auto"/>
          <w:sz w:val="24"/>
          <w:szCs w:val="24"/>
        </w:rPr>
      </w:pPr>
      <w:bookmarkStart w:id="41" w:name="_Toc35393807"/>
      <w:bookmarkStart w:id="42" w:name="_Toc28359097"/>
      <w:bookmarkStart w:id="43" w:name="_Toc28359020"/>
      <w:bookmarkStart w:id="44" w:name="_Toc35393638"/>
      <w:r>
        <w:rPr>
          <w:rFonts w:hint="eastAsia" w:ascii="仿宋" w:hAnsi="仿宋" w:eastAsia="仿宋" w:cs="仿宋"/>
          <w:color w:val="auto"/>
          <w:sz w:val="24"/>
          <w:szCs w:val="24"/>
        </w:rPr>
        <w:t xml:space="preserve">   2.采购代理机构信息</w:t>
      </w:r>
      <w:bookmarkEnd w:id="41"/>
      <w:bookmarkEnd w:id="42"/>
      <w:bookmarkEnd w:id="43"/>
      <w:bookmarkEnd w:id="44"/>
    </w:p>
    <w:p>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名    称</w:t>
      </w:r>
      <w:r>
        <w:rPr>
          <w:rFonts w:hint="eastAsia" w:ascii="仿宋" w:hAnsi="仿宋" w:eastAsia="仿宋" w:cs="仿宋"/>
          <w:color w:val="auto"/>
          <w:sz w:val="24"/>
          <w:szCs w:val="24"/>
        </w:rPr>
        <w:t>：中晟睿智工程管理有限公司</w:t>
      </w:r>
    </w:p>
    <w:p>
      <w:pPr>
        <w:spacing w:line="48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地    址：郑州市金水区经七路与红专路交叉口向北200米路东中亨大厦3楼</w:t>
      </w:r>
    </w:p>
    <w:p>
      <w:pPr>
        <w:spacing w:line="48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联 系 人：务女士</w:t>
      </w:r>
    </w:p>
    <w:p>
      <w:pPr>
        <w:spacing w:line="480" w:lineRule="exact"/>
        <w:ind w:firstLine="720" w:firstLineChars="300"/>
        <w:rPr>
          <w:color w:val="auto"/>
        </w:rPr>
      </w:pPr>
      <w:r>
        <w:rPr>
          <w:rFonts w:hint="eastAsia" w:ascii="仿宋" w:hAnsi="仿宋" w:eastAsia="仿宋" w:cs="仿宋"/>
          <w:color w:val="auto"/>
          <w:sz w:val="24"/>
          <w:szCs w:val="24"/>
        </w:rPr>
        <w:t>联系方式：0371-66611121</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3.项目联系方式 </w:t>
      </w:r>
    </w:p>
    <w:p>
      <w:pPr>
        <w:spacing w:line="48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项目联系人：务女士</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联系方式：0371-66611121</w:t>
      </w: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rPr>
          <w:rFonts w:hint="eastAsia"/>
        </w:rPr>
      </w:pPr>
    </w:p>
    <w:p>
      <w:pPr>
        <w:rPr>
          <w:rFonts w:hint="eastAsia"/>
        </w:rPr>
      </w:pPr>
    </w:p>
    <w:p>
      <w:pPr>
        <w:pStyle w:val="11"/>
        <w:rPr>
          <w:rFonts w:hint="eastAsia"/>
          <w:lang w:eastAsia="zh-CN"/>
        </w:rPr>
      </w:pPr>
    </w:p>
    <w:p>
      <w:pPr>
        <w:spacing w:line="360" w:lineRule="auto"/>
        <w:jc w:val="center"/>
        <w:outlineLvl w:val="0"/>
        <w:rPr>
          <w:rFonts w:ascii="宋体" w:hAnsi="宋体" w:eastAsia="宋体" w:cs="宋体"/>
          <w:b/>
          <w:sz w:val="32"/>
          <w:szCs w:val="32"/>
        </w:rPr>
      </w:pPr>
      <w:bookmarkStart w:id="45" w:name="_Toc2193"/>
      <w:bookmarkStart w:id="46" w:name="_Toc4475"/>
      <w:bookmarkStart w:id="47" w:name="_Toc19952"/>
      <w:bookmarkStart w:id="48" w:name="_Toc27215"/>
      <w:r>
        <w:rPr>
          <w:rFonts w:hint="eastAsia" w:ascii="宋体" w:hAnsi="宋体" w:eastAsia="宋体" w:cs="宋体"/>
          <w:b/>
          <w:sz w:val="32"/>
          <w:szCs w:val="32"/>
        </w:rPr>
        <w:t>第二章 投标人须知</w:t>
      </w:r>
      <w:bookmarkEnd w:id="45"/>
      <w:bookmarkEnd w:id="46"/>
      <w:bookmarkEnd w:id="47"/>
      <w:bookmarkEnd w:id="48"/>
    </w:p>
    <w:p>
      <w:pPr>
        <w:pStyle w:val="8"/>
        <w:spacing w:before="0" w:after="0" w:line="413" w:lineRule="auto"/>
        <w:jc w:val="center"/>
        <w:rPr>
          <w:rFonts w:ascii="宋体" w:hAnsi="宋体" w:eastAsia="宋体" w:cs="宋体"/>
          <w:sz w:val="24"/>
          <w:szCs w:val="24"/>
        </w:rPr>
      </w:pPr>
      <w:bookmarkStart w:id="49" w:name="_Toc25048"/>
      <w:bookmarkStart w:id="50" w:name="_Toc10199"/>
      <w:bookmarkStart w:id="51" w:name="_Toc15297"/>
      <w:bookmarkStart w:id="52" w:name="_Toc23896"/>
      <w:bookmarkStart w:id="53" w:name="_Toc25437"/>
      <w:bookmarkStart w:id="54" w:name="_Toc23775"/>
      <w:bookmarkStart w:id="55" w:name="_Toc23568"/>
      <w:bookmarkStart w:id="56" w:name="_Toc12781"/>
      <w:bookmarkStart w:id="57" w:name="_Toc22787"/>
      <w:r>
        <w:rPr>
          <w:rFonts w:hint="eastAsia" w:ascii="宋体" w:hAnsi="宋体" w:eastAsia="宋体" w:cs="宋体"/>
          <w:sz w:val="24"/>
          <w:szCs w:val="24"/>
        </w:rPr>
        <w:t>投标人须知前附表</w:t>
      </w:r>
      <w:bookmarkEnd w:id="49"/>
      <w:bookmarkEnd w:id="50"/>
      <w:bookmarkEnd w:id="51"/>
      <w:bookmarkEnd w:id="52"/>
      <w:bookmarkEnd w:id="53"/>
      <w:bookmarkEnd w:id="54"/>
      <w:bookmarkEnd w:id="55"/>
      <w:bookmarkEnd w:id="56"/>
      <w:bookmarkEnd w:id="57"/>
    </w:p>
    <w:tbl>
      <w:tblPr>
        <w:tblStyle w:val="22"/>
        <w:tblW w:w="9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237"/>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5" w:type="dxa"/>
            <w:vAlign w:val="center"/>
          </w:tcPr>
          <w:p>
            <w:pPr>
              <w:spacing w:line="380" w:lineRule="exact"/>
              <w:jc w:val="center"/>
              <w:rPr>
                <w:rFonts w:ascii="宋体" w:hAnsi="宋体" w:eastAsia="宋体" w:cs="宋体"/>
                <w:b/>
              </w:rPr>
            </w:pPr>
            <w:r>
              <w:rPr>
                <w:rFonts w:hint="eastAsia" w:ascii="宋体" w:hAnsi="宋体" w:eastAsia="宋体" w:cs="宋体"/>
                <w:b/>
              </w:rPr>
              <w:t>条款号</w:t>
            </w:r>
          </w:p>
        </w:tc>
        <w:tc>
          <w:tcPr>
            <w:tcW w:w="2237" w:type="dxa"/>
            <w:vAlign w:val="center"/>
          </w:tcPr>
          <w:p>
            <w:pPr>
              <w:spacing w:line="380" w:lineRule="exact"/>
              <w:jc w:val="center"/>
              <w:rPr>
                <w:rFonts w:ascii="宋体" w:hAnsi="宋体" w:eastAsia="宋体" w:cs="宋体"/>
                <w:b/>
              </w:rPr>
            </w:pPr>
            <w:r>
              <w:rPr>
                <w:rFonts w:hint="eastAsia" w:ascii="宋体" w:hAnsi="宋体" w:eastAsia="宋体" w:cs="宋体"/>
                <w:b/>
              </w:rPr>
              <w:t>条款名称</w:t>
            </w:r>
          </w:p>
        </w:tc>
        <w:tc>
          <w:tcPr>
            <w:tcW w:w="5920" w:type="dxa"/>
            <w:vAlign w:val="center"/>
          </w:tcPr>
          <w:p>
            <w:pPr>
              <w:spacing w:line="380" w:lineRule="exact"/>
              <w:jc w:val="center"/>
              <w:rPr>
                <w:rFonts w:ascii="宋体" w:hAnsi="宋体" w:eastAsia="宋体" w:cs="宋体"/>
                <w:b/>
              </w:rPr>
            </w:pPr>
            <w:r>
              <w:rPr>
                <w:rFonts w:hint="eastAsia" w:ascii="宋体" w:hAnsi="宋体" w:eastAsia="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1.1.2</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招标人</w:t>
            </w:r>
          </w:p>
        </w:tc>
        <w:tc>
          <w:tcPr>
            <w:tcW w:w="5920" w:type="dxa"/>
            <w:vAlign w:val="center"/>
          </w:tcPr>
          <w:p>
            <w:pPr>
              <w:spacing w:line="390" w:lineRule="exact"/>
              <w:rPr>
                <w:rFonts w:hint="eastAsia" w:ascii="宋体" w:hAnsi="宋体" w:eastAsia="宋体" w:cs="宋体"/>
              </w:rPr>
            </w:pPr>
            <w:r>
              <w:rPr>
                <w:rFonts w:hint="eastAsia" w:ascii="宋体" w:hAnsi="宋体" w:eastAsia="宋体" w:cs="宋体"/>
              </w:rPr>
              <w:t>招 标 人：开封市祥符区住房和城乡建设局</w:t>
            </w:r>
          </w:p>
          <w:p>
            <w:pPr>
              <w:spacing w:line="390" w:lineRule="exact"/>
              <w:rPr>
                <w:rFonts w:hint="eastAsia" w:ascii="宋体" w:hAnsi="宋体" w:eastAsia="宋体" w:cs="宋体"/>
              </w:rPr>
            </w:pPr>
            <w:r>
              <w:rPr>
                <w:rFonts w:hint="eastAsia" w:ascii="宋体" w:hAnsi="宋体" w:eastAsia="宋体" w:cs="宋体"/>
              </w:rPr>
              <w:t>地    址：祥符区恒福街26号</w:t>
            </w:r>
          </w:p>
          <w:p>
            <w:pPr>
              <w:spacing w:line="390" w:lineRule="exact"/>
              <w:rPr>
                <w:rFonts w:hint="eastAsia" w:ascii="宋体" w:hAnsi="宋体" w:eastAsia="宋体" w:cs="宋体"/>
              </w:rPr>
            </w:pPr>
            <w:r>
              <w:rPr>
                <w:rFonts w:hint="eastAsia" w:ascii="宋体" w:hAnsi="宋体" w:eastAsia="宋体" w:cs="宋体"/>
              </w:rPr>
              <w:t>联 系 人：聂女士</w:t>
            </w:r>
          </w:p>
          <w:p>
            <w:pPr>
              <w:spacing w:line="390" w:lineRule="exact"/>
              <w:rPr>
                <w:rFonts w:hint="eastAsia" w:ascii="宋体" w:hAnsi="宋体" w:eastAsia="宋体" w:cs="宋体"/>
                <w:lang w:eastAsia="zh-CN"/>
              </w:rPr>
            </w:pPr>
            <w:r>
              <w:rPr>
                <w:rFonts w:hint="eastAsia" w:ascii="宋体" w:hAnsi="宋体" w:eastAsia="宋体" w:cs="宋体"/>
              </w:rPr>
              <w:t>联系方式：1889813650</w:t>
            </w:r>
            <w:r>
              <w:rPr>
                <w:rFonts w:hint="eastAsia" w:ascii="宋体" w:hAnsi="宋体" w:eastAsia="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1.1.3</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招标代理机构</w:t>
            </w:r>
          </w:p>
        </w:tc>
        <w:tc>
          <w:tcPr>
            <w:tcW w:w="5920" w:type="dxa"/>
            <w:vAlign w:val="center"/>
          </w:tcPr>
          <w:p>
            <w:pPr>
              <w:spacing w:line="380" w:lineRule="exact"/>
              <w:rPr>
                <w:rFonts w:hint="eastAsia" w:ascii="宋体" w:hAnsi="宋体" w:eastAsia="宋体" w:cs="宋体"/>
              </w:rPr>
            </w:pPr>
            <w:r>
              <w:rPr>
                <w:rFonts w:hint="eastAsia" w:ascii="宋体" w:hAnsi="宋体" w:eastAsia="宋体" w:cs="宋体"/>
              </w:rPr>
              <w:t>招标代理机构：中晟睿智工程管理有限公司</w:t>
            </w:r>
          </w:p>
          <w:p>
            <w:pPr>
              <w:spacing w:line="380" w:lineRule="exact"/>
              <w:rPr>
                <w:rFonts w:hint="eastAsia" w:ascii="宋体" w:hAnsi="宋体" w:eastAsia="宋体" w:cs="宋体"/>
              </w:rPr>
            </w:pPr>
            <w:r>
              <w:rPr>
                <w:rFonts w:hint="eastAsia" w:ascii="宋体" w:hAnsi="宋体" w:eastAsia="宋体" w:cs="宋体"/>
              </w:rPr>
              <w:t>地    址：郑州市金水区经七路与红专路交叉口向北200米路东中亨大厦3楼</w:t>
            </w:r>
          </w:p>
          <w:p>
            <w:pPr>
              <w:spacing w:line="380" w:lineRule="exact"/>
              <w:rPr>
                <w:rFonts w:hint="eastAsia" w:ascii="宋体" w:hAnsi="宋体" w:eastAsia="宋体" w:cs="宋体"/>
              </w:rPr>
            </w:pPr>
            <w:r>
              <w:rPr>
                <w:rFonts w:hint="eastAsia" w:ascii="宋体" w:hAnsi="宋体" w:eastAsia="宋体" w:cs="宋体"/>
              </w:rPr>
              <w:t>联 系 人：务女士</w:t>
            </w:r>
          </w:p>
          <w:p>
            <w:pPr>
              <w:spacing w:line="380" w:lineRule="exact"/>
              <w:rPr>
                <w:rFonts w:ascii="宋体" w:hAnsi="宋体" w:eastAsia="宋体" w:cs="宋体"/>
              </w:rPr>
            </w:pPr>
            <w:r>
              <w:rPr>
                <w:rFonts w:hint="eastAsia" w:ascii="宋体" w:hAnsi="宋体" w:eastAsia="宋体" w:cs="宋体"/>
              </w:rPr>
              <w:t>联系方式：0371-66611121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1.1.4</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招标项目名称</w:t>
            </w:r>
          </w:p>
        </w:tc>
        <w:tc>
          <w:tcPr>
            <w:tcW w:w="5920" w:type="dxa"/>
            <w:vAlign w:val="center"/>
          </w:tcPr>
          <w:p>
            <w:pPr>
              <w:spacing w:line="380" w:lineRule="exact"/>
              <w:jc w:val="left"/>
              <w:rPr>
                <w:rFonts w:hint="eastAsia" w:ascii="宋体" w:hAnsi="宋体" w:eastAsia="宋体" w:cs="宋体"/>
                <w:lang w:eastAsia="zh-CN"/>
              </w:rPr>
            </w:pPr>
            <w:r>
              <w:rPr>
                <w:rFonts w:hint="eastAsia" w:ascii="宋体" w:hAnsi="宋体" w:eastAsia="宋体" w:cs="宋体"/>
                <w:szCs w:val="21"/>
                <w:lang w:eastAsia="zh-CN"/>
              </w:rPr>
              <w:t>开封市祥符区新建商品房预售资金监管专用账户托管银行服务项目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1.1.5</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项目概况</w:t>
            </w:r>
          </w:p>
        </w:tc>
        <w:tc>
          <w:tcPr>
            <w:tcW w:w="5920" w:type="dxa"/>
            <w:vAlign w:val="center"/>
          </w:tcPr>
          <w:p>
            <w:pPr>
              <w:spacing w:line="380" w:lineRule="exact"/>
              <w:jc w:val="left"/>
              <w:rPr>
                <w:rFonts w:ascii="宋体" w:hAnsi="宋体" w:eastAsia="宋体" w:cs="宋体"/>
                <w:szCs w:val="21"/>
              </w:rPr>
            </w:pPr>
            <w:r>
              <w:rPr>
                <w:rFonts w:hint="eastAsia" w:ascii="宋体" w:hAnsi="宋体" w:eastAsia="宋体" w:cs="宋体"/>
                <w:szCs w:val="21"/>
              </w:rPr>
              <w:t>选定多家银行作为开封市新建商品房预售资金监管银行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1.1.6</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szCs w:val="21"/>
              </w:rPr>
              <w:t>服务内容</w:t>
            </w:r>
          </w:p>
        </w:tc>
        <w:tc>
          <w:tcPr>
            <w:tcW w:w="5920" w:type="dxa"/>
            <w:vAlign w:val="center"/>
          </w:tcPr>
          <w:p>
            <w:pPr>
              <w:spacing w:line="380" w:lineRule="exact"/>
              <w:jc w:val="left"/>
              <w:rPr>
                <w:rFonts w:ascii="宋体" w:hAnsi="宋体" w:eastAsia="宋体" w:cs="宋体"/>
              </w:rPr>
            </w:pPr>
            <w:r>
              <w:rPr>
                <w:rFonts w:hint="eastAsia" w:ascii="宋体" w:hAnsi="宋体" w:eastAsia="宋体" w:cs="宋体"/>
                <w:szCs w:val="21"/>
              </w:rPr>
              <w:t>开封市</w:t>
            </w:r>
            <w:r>
              <w:rPr>
                <w:rFonts w:hint="eastAsia" w:ascii="宋体" w:hAnsi="宋体" w:eastAsia="宋体" w:cs="宋体"/>
                <w:szCs w:val="21"/>
                <w:lang w:val="en-US" w:eastAsia="zh-CN"/>
              </w:rPr>
              <w:t>祥符区</w:t>
            </w:r>
            <w:r>
              <w:rPr>
                <w:rFonts w:hint="eastAsia" w:ascii="宋体" w:hAnsi="宋体" w:eastAsia="宋体" w:cs="宋体"/>
                <w:szCs w:val="21"/>
              </w:rPr>
              <w:t>新建商品房预售资金监管业务的服务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1.1.7</w:t>
            </w:r>
          </w:p>
        </w:tc>
        <w:tc>
          <w:tcPr>
            <w:tcW w:w="2237" w:type="dxa"/>
            <w:vAlign w:val="center"/>
          </w:tcPr>
          <w:p>
            <w:pPr>
              <w:spacing w:line="380" w:lineRule="exact"/>
              <w:jc w:val="center"/>
              <w:rPr>
                <w:rFonts w:ascii="宋体" w:hAnsi="宋体" w:eastAsia="宋体" w:cs="宋体"/>
                <w:szCs w:val="21"/>
              </w:rPr>
            </w:pPr>
            <w:r>
              <w:rPr>
                <w:rFonts w:hint="eastAsia" w:ascii="宋体" w:hAnsi="宋体" w:eastAsia="宋体" w:cs="宋体"/>
                <w:color w:val="auto"/>
                <w:szCs w:val="21"/>
                <w:highlight w:val="none"/>
              </w:rPr>
              <w:t>服务期限</w:t>
            </w:r>
          </w:p>
        </w:tc>
        <w:tc>
          <w:tcPr>
            <w:tcW w:w="5920" w:type="dxa"/>
            <w:vAlign w:val="center"/>
          </w:tcPr>
          <w:p>
            <w:pPr>
              <w:spacing w:line="380" w:lineRule="exact"/>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如国家和上级政策有变化的，应遵照政策要求执行；如无政策调整，服务期满后，银行无违规行为的按照每一个年度依次顺延；出现违规行为且整改不力的，解除协议，自动终止银行新建商品房预售资金监管业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1.1.8</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szCs w:val="21"/>
              </w:rPr>
              <w:t>服务范围</w:t>
            </w:r>
          </w:p>
        </w:tc>
        <w:tc>
          <w:tcPr>
            <w:tcW w:w="5920" w:type="dxa"/>
            <w:vAlign w:val="center"/>
          </w:tcPr>
          <w:p>
            <w:pPr>
              <w:spacing w:line="400" w:lineRule="exact"/>
              <w:rPr>
                <w:rFonts w:ascii="宋体" w:hAnsi="宋体" w:eastAsia="宋体" w:cs="宋体"/>
                <w:szCs w:val="21"/>
              </w:rPr>
            </w:pPr>
            <w:r>
              <w:rPr>
                <w:rFonts w:hint="eastAsia" w:ascii="宋体" w:hAnsi="宋体" w:eastAsia="宋体" w:cs="宋体"/>
                <w:szCs w:val="21"/>
              </w:rPr>
              <w:t>开封市</w:t>
            </w:r>
            <w:r>
              <w:rPr>
                <w:rFonts w:hint="eastAsia" w:ascii="宋体" w:hAnsi="宋体" w:eastAsia="宋体" w:cs="宋体"/>
                <w:szCs w:val="21"/>
                <w:lang w:eastAsia="zh-CN"/>
              </w:rPr>
              <w:t>祥符区</w:t>
            </w:r>
            <w:r>
              <w:rPr>
                <w:rFonts w:hint="eastAsia" w:ascii="宋体" w:hAnsi="宋体" w:eastAsia="宋体" w:cs="宋体"/>
                <w:szCs w:val="21"/>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1.1.9</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szCs w:val="21"/>
              </w:rPr>
              <w:t>质量标准</w:t>
            </w:r>
          </w:p>
        </w:tc>
        <w:tc>
          <w:tcPr>
            <w:tcW w:w="5920" w:type="dxa"/>
            <w:vAlign w:val="center"/>
          </w:tcPr>
          <w:p>
            <w:pPr>
              <w:spacing w:line="380" w:lineRule="exact"/>
              <w:jc w:val="left"/>
              <w:rPr>
                <w:rFonts w:ascii="宋体" w:hAnsi="宋体" w:eastAsia="宋体" w:cs="宋体"/>
              </w:rPr>
            </w:pPr>
            <w:r>
              <w:rPr>
                <w:rFonts w:hint="eastAsia" w:ascii="宋体" w:hAnsi="宋体" w:eastAsia="宋体" w:cs="宋体"/>
                <w:szCs w:val="21"/>
              </w:rPr>
              <w:t>符合国家现行标准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1.4.1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投标人资质条件</w:t>
            </w:r>
          </w:p>
        </w:tc>
        <w:tc>
          <w:tcPr>
            <w:tcW w:w="5920" w:type="dxa"/>
            <w:vAlign w:val="center"/>
          </w:tcPr>
          <w:p>
            <w:pPr>
              <w:spacing w:line="360" w:lineRule="auto"/>
              <w:rPr>
                <w:rFonts w:hint="eastAsia" w:ascii="宋体" w:hAnsi="宋体" w:eastAsia="宋体" w:cs="宋体"/>
              </w:rPr>
            </w:pPr>
            <w:r>
              <w:rPr>
                <w:rFonts w:hint="eastAsia" w:ascii="宋体" w:hAnsi="宋体" w:eastAsia="宋体" w:cs="宋体"/>
              </w:rPr>
              <w:t>1、满足《中华人民共和国政府采购法》第二十二条规定；</w:t>
            </w:r>
          </w:p>
          <w:p>
            <w:pPr>
              <w:spacing w:line="360" w:lineRule="auto"/>
              <w:rPr>
                <w:rFonts w:hint="eastAsia" w:ascii="宋体" w:hAnsi="宋体" w:eastAsia="宋体" w:cs="宋体"/>
              </w:rPr>
            </w:pPr>
            <w:r>
              <w:rPr>
                <w:rFonts w:hint="eastAsia" w:ascii="宋体" w:hAnsi="宋体" w:eastAsia="宋体" w:cs="宋体"/>
              </w:rPr>
              <w:t>（1）具有独立承担民事责任的能力；【投标人须是在中国境内注册、拥有合法经营权的国有独资银行或股份制银行，具备有效的三证合一的营业执照，且在开封市祥符区境内具有营业网点（不含自助银行）的金融机构。（同一银行及下设的分支机构视为一个投标人）】</w:t>
            </w:r>
          </w:p>
          <w:p>
            <w:pPr>
              <w:spacing w:line="360" w:lineRule="auto"/>
              <w:rPr>
                <w:rFonts w:hint="eastAsia" w:ascii="宋体" w:hAnsi="宋体" w:eastAsia="宋体" w:cs="宋体"/>
              </w:rPr>
            </w:pPr>
            <w:r>
              <w:rPr>
                <w:rFonts w:hint="eastAsia" w:ascii="宋体" w:hAnsi="宋体" w:eastAsia="宋体" w:cs="宋体"/>
              </w:rPr>
              <w:t>（2）具有良好的商业信誉和健全的财务会计制度；【提供2020年、2021年、2022年任意1年的财务审计报告；成立时间不足的企业按实际成立年限提供，新成立的公司提供资信证明。】</w:t>
            </w:r>
          </w:p>
          <w:p>
            <w:pPr>
              <w:spacing w:line="360" w:lineRule="auto"/>
              <w:rPr>
                <w:rFonts w:hint="eastAsia" w:ascii="宋体" w:hAnsi="宋体" w:eastAsia="宋体" w:cs="宋体"/>
              </w:rPr>
            </w:pPr>
            <w:r>
              <w:rPr>
                <w:rFonts w:hint="eastAsia" w:ascii="宋体" w:hAnsi="宋体" w:eastAsia="宋体" w:cs="宋体"/>
              </w:rPr>
              <w:t>（3）具有履行合同所必需的设备和专业技术能力；【提供声明函】</w:t>
            </w:r>
          </w:p>
          <w:p>
            <w:pPr>
              <w:spacing w:line="360" w:lineRule="auto"/>
              <w:rPr>
                <w:rFonts w:hint="eastAsia" w:ascii="宋体" w:hAnsi="宋体" w:eastAsia="宋体" w:cs="宋体"/>
              </w:rPr>
            </w:pPr>
            <w:r>
              <w:rPr>
                <w:rFonts w:hint="eastAsia" w:ascii="宋体" w:hAnsi="宋体" w:eastAsia="宋体" w:cs="宋体"/>
              </w:rPr>
              <w:t>（4）有依法缴纳税收和社会保障资金的良好记录；【提供自2023年1月1日以来任意3个月的纳税凭证和缴纳养老保险证明，依法免税或不需要缴纳社会保障资金的投标人，应提供相应证明文件。】</w:t>
            </w:r>
          </w:p>
          <w:p>
            <w:pPr>
              <w:spacing w:line="360" w:lineRule="auto"/>
              <w:rPr>
                <w:rFonts w:hint="eastAsia" w:ascii="宋体" w:hAnsi="宋体" w:eastAsia="宋体" w:cs="宋体"/>
              </w:rPr>
            </w:pPr>
            <w:r>
              <w:rPr>
                <w:rFonts w:hint="eastAsia" w:ascii="宋体" w:hAnsi="宋体" w:eastAsia="宋体" w:cs="宋体"/>
              </w:rPr>
              <w:t>（5）参加政府采购活动前三年内，在经营活动中没有重大违法记录；【提供声明函】。</w:t>
            </w:r>
          </w:p>
          <w:p>
            <w:pPr>
              <w:spacing w:line="360" w:lineRule="auto"/>
              <w:rPr>
                <w:rFonts w:hint="eastAsia" w:ascii="宋体" w:hAnsi="宋体" w:eastAsia="宋体" w:cs="宋体"/>
              </w:rPr>
            </w:pPr>
            <w:r>
              <w:rPr>
                <w:rFonts w:hint="eastAsia" w:ascii="宋体" w:hAnsi="宋体" w:eastAsia="宋体" w:cs="宋体"/>
              </w:rPr>
              <w:t xml:space="preserve">2、投标人须具有中国银行业监督管理委员会（简称银监会）依法颁发的金融许可证。 </w:t>
            </w:r>
          </w:p>
          <w:p>
            <w:pPr>
              <w:spacing w:line="360" w:lineRule="auto"/>
              <w:rPr>
                <w:rFonts w:hint="eastAsia" w:ascii="宋体" w:hAnsi="宋体" w:eastAsia="宋体" w:cs="宋体"/>
              </w:rPr>
            </w:pPr>
            <w:r>
              <w:rPr>
                <w:rFonts w:hint="eastAsia" w:ascii="宋体" w:hAnsi="宋体" w:eastAsia="宋体" w:cs="宋体"/>
              </w:rPr>
              <w:t>3、投标人不得存在财库[2016]125号《关于在政府采购活动中查询及使用信用记录有关问题的通知》中拒绝其参与政府采购活动的行为。投标单位应通过“信用中国”网站(www.creditchina.gov.cn)查询“失信被执行人”和“重大税收违法失信主体”、中国政府采购网(www.ccgp.gov.cn)查询“政府采购严重违法失信行为记录名单”渠道查询自身信用记录，并提供以上查询截图（须附在投标文件中）。</w:t>
            </w:r>
          </w:p>
          <w:p>
            <w:pPr>
              <w:spacing w:line="360" w:lineRule="auto"/>
              <w:rPr>
                <w:rFonts w:ascii="宋体" w:hAnsi="宋体" w:eastAsia="宋体" w:cs="宋体"/>
              </w:rPr>
            </w:pPr>
            <w:r>
              <w:rPr>
                <w:rFonts w:hint="eastAsia" w:ascii="宋体" w:hAnsi="宋体" w:eastAsia="宋体" w:cs="宋体"/>
              </w:rPr>
              <w:t>4、本次招标不接受联合体投标。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1.4.2</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是否接受联合体投标</w:t>
            </w:r>
          </w:p>
        </w:tc>
        <w:tc>
          <w:tcPr>
            <w:tcW w:w="5920" w:type="dxa"/>
            <w:vAlign w:val="center"/>
          </w:tcPr>
          <w:p>
            <w:pPr>
              <w:topLinePunct/>
              <w:spacing w:line="380" w:lineRule="exact"/>
              <w:rPr>
                <w:rFonts w:ascii="宋体" w:hAnsi="宋体" w:eastAsia="宋体" w:cs="宋体"/>
              </w:rPr>
            </w:pPr>
            <w:r>
              <w:rPr>
                <w:rFonts w:hint="eastAsia" w:ascii="宋体" w:hAnsi="宋体" w:eastAsia="宋体" w:cs="宋体"/>
              </w:rPr>
              <w:t>☑不接受</w:t>
            </w:r>
          </w:p>
          <w:p>
            <w:pPr>
              <w:spacing w:line="380" w:lineRule="exact"/>
              <w:rPr>
                <w:rFonts w:ascii="宋体" w:hAnsi="宋体" w:eastAsia="宋体" w:cs="宋体"/>
                <w:sz w:val="32"/>
              </w:rPr>
            </w:pPr>
            <w:r>
              <w:rPr>
                <w:rFonts w:hint="eastAsia" w:ascii="宋体" w:hAnsi="宋体" w:eastAsia="宋体" w:cs="宋体"/>
                <w:sz w:val="32"/>
              </w:rPr>
              <w:t>□</w:t>
            </w:r>
            <w:r>
              <w:rPr>
                <w:rFonts w:hint="eastAsia" w:ascii="宋体" w:hAnsi="宋体" w:eastAsia="宋体" w:cs="宋体"/>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1.4.3</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szCs w:val="21"/>
              </w:rPr>
              <w:t>投标人不得存在的其他情形</w:t>
            </w:r>
          </w:p>
        </w:tc>
        <w:tc>
          <w:tcPr>
            <w:tcW w:w="5920" w:type="dxa"/>
            <w:vAlign w:val="center"/>
          </w:tcPr>
          <w:p>
            <w:pPr>
              <w:topLinePunct/>
              <w:spacing w:line="380" w:lineRule="exact"/>
              <w:rPr>
                <w:rFonts w:ascii="宋体" w:hAnsi="宋体" w:eastAsia="宋体" w:cs="宋体"/>
                <w:sz w:val="32"/>
              </w:rPr>
            </w:pPr>
            <w:r>
              <w:rPr>
                <w:rFonts w:hint="eastAsia" w:ascii="宋体" w:hAnsi="宋体" w:eastAsia="宋体" w:cs="宋体"/>
                <w:spacing w:val="1"/>
                <w:kern w:val="0"/>
                <w:szCs w:val="21"/>
              </w:rPr>
              <w:t>详见正文1.4.3款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1.9.1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踏勘现场</w:t>
            </w:r>
          </w:p>
        </w:tc>
        <w:tc>
          <w:tcPr>
            <w:tcW w:w="5920" w:type="dxa"/>
            <w:vAlign w:val="center"/>
          </w:tcPr>
          <w:p>
            <w:pPr>
              <w:pStyle w:val="10"/>
              <w:topLinePunct/>
              <w:spacing w:line="380" w:lineRule="exact"/>
              <w:rPr>
                <w:rFonts w:hAnsi="宋体" w:eastAsia="宋体" w:cs="宋体"/>
                <w:sz w:val="21"/>
                <w:szCs w:val="21"/>
              </w:rPr>
            </w:pPr>
            <w:r>
              <w:rPr>
                <w:rFonts w:hint="eastAsia" w:hAnsi="宋体" w:eastAsia="宋体" w:cs="宋体"/>
                <w:sz w:val="21"/>
                <w:szCs w:val="22"/>
              </w:rPr>
              <w:t>☑</w:t>
            </w:r>
            <w:r>
              <w:rPr>
                <w:rFonts w:hint="eastAsia" w:hAnsi="宋体" w:eastAsia="宋体" w:cs="宋体"/>
                <w:sz w:val="21"/>
                <w:szCs w:val="21"/>
              </w:rPr>
              <w:t>不组织</w:t>
            </w:r>
          </w:p>
          <w:p>
            <w:pPr>
              <w:pStyle w:val="10"/>
              <w:topLinePunct/>
              <w:spacing w:line="380" w:lineRule="exact"/>
              <w:rPr>
                <w:rFonts w:hAnsi="宋体" w:eastAsia="宋体" w:cs="宋体"/>
                <w:sz w:val="21"/>
                <w:szCs w:val="21"/>
              </w:rPr>
            </w:pPr>
            <w:r>
              <w:rPr>
                <w:rFonts w:hint="eastAsia" w:hAnsi="宋体" w:eastAsia="宋体" w:cs="宋体"/>
                <w:sz w:val="32"/>
              </w:rPr>
              <w:t>□</w:t>
            </w:r>
            <w:r>
              <w:rPr>
                <w:rFonts w:hint="eastAsia" w:hAnsi="宋体" w:eastAsia="宋体" w:cs="宋体"/>
                <w:sz w:val="21"/>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1.10.1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投标预备会</w:t>
            </w:r>
          </w:p>
        </w:tc>
        <w:tc>
          <w:tcPr>
            <w:tcW w:w="5920" w:type="dxa"/>
            <w:vAlign w:val="center"/>
          </w:tcPr>
          <w:p>
            <w:pPr>
              <w:pStyle w:val="10"/>
              <w:topLinePunct/>
              <w:spacing w:line="380" w:lineRule="exact"/>
              <w:rPr>
                <w:rFonts w:hAnsi="宋体" w:eastAsia="宋体" w:cs="宋体"/>
                <w:sz w:val="21"/>
                <w:szCs w:val="22"/>
              </w:rPr>
            </w:pPr>
            <w:r>
              <w:rPr>
                <w:rFonts w:hint="eastAsia" w:hAnsi="宋体" w:eastAsia="宋体" w:cs="宋体"/>
                <w:sz w:val="21"/>
                <w:szCs w:val="22"/>
              </w:rPr>
              <w:t>☑不召开</w:t>
            </w:r>
          </w:p>
          <w:p>
            <w:pPr>
              <w:spacing w:line="380" w:lineRule="exact"/>
              <w:rPr>
                <w:rFonts w:ascii="宋体" w:hAnsi="宋体" w:eastAsia="宋体" w:cs="宋体"/>
              </w:rPr>
            </w:pPr>
            <w:r>
              <w:rPr>
                <w:rFonts w:hint="eastAsia" w:ascii="宋体" w:hAnsi="宋体" w:eastAsia="宋体" w:cs="宋体"/>
                <w:sz w:val="32"/>
              </w:rPr>
              <w:t>□</w:t>
            </w:r>
            <w:r>
              <w:rPr>
                <w:rFonts w:hint="eastAsia" w:ascii="宋体" w:hAnsi="宋体" w:eastAsia="宋体" w:cs="宋体"/>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1.11.1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szCs w:val="21"/>
              </w:rPr>
              <w:t>分包</w:t>
            </w:r>
          </w:p>
        </w:tc>
        <w:tc>
          <w:tcPr>
            <w:tcW w:w="5920" w:type="dxa"/>
            <w:vAlign w:val="center"/>
          </w:tcPr>
          <w:p>
            <w:pPr>
              <w:spacing w:line="380" w:lineRule="exact"/>
              <w:rPr>
                <w:rFonts w:ascii="宋体" w:hAnsi="宋体" w:eastAsia="宋体" w:cs="宋体"/>
                <w:szCs w:val="21"/>
              </w:rPr>
            </w:pPr>
            <w:r>
              <w:rPr>
                <w:rFonts w:hint="eastAsia" w:ascii="宋体" w:hAnsi="宋体" w:eastAsia="宋体" w:cs="宋体"/>
              </w:rPr>
              <w:t>☑</w:t>
            </w:r>
            <w:r>
              <w:rPr>
                <w:rFonts w:hint="eastAsia" w:ascii="宋体" w:hAnsi="宋体" w:eastAsia="宋体" w:cs="宋体"/>
                <w:szCs w:val="21"/>
              </w:rPr>
              <w:t>不允许</w:t>
            </w:r>
          </w:p>
          <w:p>
            <w:pPr>
              <w:spacing w:line="380" w:lineRule="exact"/>
              <w:rPr>
                <w:rFonts w:ascii="宋体" w:hAnsi="宋体" w:eastAsia="宋体" w:cs="宋体"/>
                <w:szCs w:val="21"/>
              </w:rPr>
            </w:pPr>
            <w:r>
              <w:rPr>
                <w:rFonts w:hint="eastAsia" w:ascii="宋体" w:hAnsi="宋体" w:eastAsia="宋体" w:cs="宋体"/>
                <w:sz w:val="32"/>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1.12.2</w:t>
            </w:r>
          </w:p>
        </w:tc>
        <w:tc>
          <w:tcPr>
            <w:tcW w:w="2237" w:type="dxa"/>
            <w:vAlign w:val="center"/>
          </w:tcPr>
          <w:p>
            <w:pPr>
              <w:spacing w:line="380" w:lineRule="exact"/>
              <w:jc w:val="center"/>
              <w:rPr>
                <w:rFonts w:ascii="宋体" w:hAnsi="宋体" w:eastAsia="宋体" w:cs="宋体"/>
                <w:b/>
                <w:bCs/>
              </w:rPr>
            </w:pPr>
            <w:r>
              <w:rPr>
                <w:rFonts w:hint="eastAsia" w:ascii="宋体" w:hAnsi="宋体" w:eastAsia="宋体" w:cs="宋体"/>
                <w:b/>
                <w:bCs/>
              </w:rPr>
              <w:t>偏离</w:t>
            </w:r>
          </w:p>
        </w:tc>
        <w:tc>
          <w:tcPr>
            <w:tcW w:w="5920" w:type="dxa"/>
          </w:tcPr>
          <w:p>
            <w:pPr>
              <w:spacing w:line="400" w:lineRule="exact"/>
              <w:ind w:firstLine="413" w:firstLineChars="196"/>
              <w:rPr>
                <w:rFonts w:ascii="宋体" w:hAnsi="宋体" w:eastAsia="宋体" w:cs="宋体"/>
                <w:b/>
                <w:bCs/>
                <w:szCs w:val="21"/>
              </w:rPr>
            </w:pPr>
            <w:r>
              <w:rPr>
                <w:rFonts w:hint="eastAsia" w:ascii="宋体" w:hAnsi="宋体" w:eastAsia="宋体" w:cs="宋体"/>
                <w:b/>
                <w:bCs/>
                <w:szCs w:val="21"/>
              </w:rPr>
              <w:t xml:space="preserve">经评标委员会审查后投标文件有下列情形之一的，视为未能实质性响应招标文件，应认定为无效标（即废标）：        </w:t>
            </w:r>
          </w:p>
          <w:p>
            <w:pPr>
              <w:spacing w:line="400" w:lineRule="exact"/>
              <w:rPr>
                <w:rFonts w:ascii="宋体" w:hAnsi="宋体" w:eastAsia="宋体" w:cs="宋体"/>
                <w:b/>
                <w:bCs/>
                <w:szCs w:val="21"/>
              </w:rPr>
            </w:pPr>
            <w:r>
              <w:rPr>
                <w:rFonts w:hint="eastAsia" w:ascii="宋体" w:hAnsi="宋体" w:eastAsia="宋体" w:cs="宋体"/>
                <w:b/>
                <w:bCs/>
                <w:szCs w:val="21"/>
              </w:rPr>
              <w:t xml:space="preserve">（1）招标文件要求盖章或签名的位置没有投标人电子签章、法定代表人电子签章或签名的； </w:t>
            </w:r>
          </w:p>
          <w:p>
            <w:pPr>
              <w:spacing w:line="400" w:lineRule="exact"/>
              <w:rPr>
                <w:rFonts w:ascii="宋体" w:hAnsi="宋体" w:eastAsia="宋体" w:cs="宋体"/>
                <w:b/>
                <w:bCs/>
                <w:szCs w:val="21"/>
              </w:rPr>
            </w:pPr>
            <w:r>
              <w:rPr>
                <w:rFonts w:hint="eastAsia" w:ascii="宋体" w:hAnsi="宋体" w:eastAsia="宋体" w:cs="宋体"/>
                <w:b/>
                <w:bCs/>
                <w:szCs w:val="21"/>
              </w:rPr>
              <w:t xml:space="preserve">（2）未按规定的格式填写，内容不全或关键字迹模糊、无法辨认的； </w:t>
            </w:r>
          </w:p>
          <w:p>
            <w:pPr>
              <w:spacing w:line="400" w:lineRule="exact"/>
              <w:rPr>
                <w:rFonts w:ascii="宋体" w:hAnsi="宋体" w:eastAsia="宋体" w:cs="宋体"/>
                <w:b/>
                <w:bCs/>
                <w:szCs w:val="21"/>
              </w:rPr>
            </w:pPr>
            <w:r>
              <w:rPr>
                <w:rFonts w:hint="eastAsia" w:ascii="宋体" w:hAnsi="宋体" w:eastAsia="宋体" w:cs="宋体"/>
                <w:b/>
                <w:bCs/>
                <w:szCs w:val="21"/>
              </w:rPr>
              <w:t xml:space="preserve">（3）投标人递交两份或多份内容不同的投标文件，或在一份投标文件中对同一招标项目报有两个或多个报价，且未声明哪一个有效，按招标文件规定提交备选投标方案的除外； </w:t>
            </w:r>
          </w:p>
          <w:p>
            <w:pPr>
              <w:spacing w:line="400" w:lineRule="exact"/>
              <w:rPr>
                <w:rFonts w:ascii="宋体" w:hAnsi="宋体" w:eastAsia="宋体" w:cs="宋体"/>
                <w:b/>
                <w:bCs/>
                <w:szCs w:val="21"/>
              </w:rPr>
            </w:pPr>
            <w:r>
              <w:rPr>
                <w:rFonts w:hint="eastAsia" w:ascii="宋体" w:hAnsi="宋体" w:eastAsia="宋体" w:cs="宋体"/>
                <w:b/>
                <w:bCs/>
                <w:szCs w:val="21"/>
              </w:rPr>
              <w:t>（4）投标人名称或组织结构与资格预审或投标申请内容不一致；</w:t>
            </w:r>
          </w:p>
          <w:p>
            <w:pPr>
              <w:spacing w:line="400" w:lineRule="exact"/>
              <w:rPr>
                <w:rFonts w:ascii="宋体" w:hAnsi="宋体" w:eastAsia="宋体" w:cs="宋体"/>
                <w:b/>
                <w:bCs/>
                <w:szCs w:val="21"/>
              </w:rPr>
            </w:pPr>
            <w:r>
              <w:rPr>
                <w:rFonts w:hint="eastAsia" w:ascii="宋体" w:hAnsi="宋体" w:eastAsia="宋体" w:cs="宋体"/>
                <w:b/>
                <w:bCs/>
                <w:szCs w:val="21"/>
              </w:rPr>
              <w:t>（5）不按评标委员会要求澄清、说明或补正的；</w:t>
            </w:r>
          </w:p>
          <w:p>
            <w:pPr>
              <w:spacing w:line="400" w:lineRule="exact"/>
              <w:rPr>
                <w:rFonts w:ascii="宋体" w:hAnsi="宋体" w:eastAsia="宋体" w:cs="宋体"/>
                <w:b/>
                <w:bCs/>
                <w:szCs w:val="21"/>
              </w:rPr>
            </w:pPr>
            <w:r>
              <w:rPr>
                <w:rFonts w:hint="eastAsia" w:ascii="宋体" w:hAnsi="宋体" w:eastAsia="宋体" w:cs="宋体"/>
                <w:b/>
                <w:bCs/>
                <w:szCs w:val="21"/>
              </w:rPr>
              <w:t>（6）投标文件载明的招标项目完成期限超过招标文件规定的期限；</w:t>
            </w:r>
          </w:p>
          <w:p>
            <w:pPr>
              <w:spacing w:line="400" w:lineRule="exact"/>
              <w:rPr>
                <w:rFonts w:ascii="宋体" w:hAnsi="宋体" w:eastAsia="宋体" w:cs="宋体"/>
                <w:b/>
                <w:bCs/>
                <w:szCs w:val="21"/>
              </w:rPr>
            </w:pPr>
            <w:r>
              <w:rPr>
                <w:rFonts w:hint="eastAsia" w:ascii="宋体" w:hAnsi="宋体" w:eastAsia="宋体" w:cs="宋体"/>
                <w:b/>
                <w:bCs/>
                <w:szCs w:val="21"/>
              </w:rPr>
              <w:t>（7）明显不符合技术规格、技术标准的要求；</w:t>
            </w:r>
          </w:p>
          <w:p>
            <w:pPr>
              <w:spacing w:line="400" w:lineRule="exact"/>
              <w:rPr>
                <w:rFonts w:ascii="宋体" w:hAnsi="宋体" w:eastAsia="宋体" w:cs="宋体"/>
                <w:b/>
                <w:bCs/>
                <w:szCs w:val="21"/>
              </w:rPr>
            </w:pPr>
            <w:r>
              <w:rPr>
                <w:rFonts w:hint="eastAsia" w:ascii="宋体" w:hAnsi="宋体" w:eastAsia="宋体" w:cs="宋体"/>
                <w:b/>
                <w:bCs/>
                <w:szCs w:val="21"/>
              </w:rPr>
              <w:t>（8）投标文件附加有招标人不能接受的条件的；</w:t>
            </w:r>
          </w:p>
          <w:p>
            <w:pPr>
              <w:spacing w:line="400" w:lineRule="exact"/>
              <w:rPr>
                <w:rFonts w:ascii="宋体" w:hAnsi="宋体" w:eastAsia="宋体" w:cs="宋体"/>
                <w:b/>
                <w:bCs/>
                <w:szCs w:val="21"/>
              </w:rPr>
            </w:pPr>
            <w:r>
              <w:rPr>
                <w:rFonts w:hint="eastAsia" w:ascii="宋体" w:hAnsi="宋体" w:eastAsia="宋体" w:cs="宋体"/>
                <w:b/>
                <w:bCs/>
                <w:szCs w:val="21"/>
              </w:rPr>
              <w:t>（9）投标人以他人的名义投标、串通投标、欺诈、威胁、以行贿手段或其他弄虚作假方式谋取中标、采取可能影响评标公正性的不正当手段的；</w:t>
            </w:r>
          </w:p>
          <w:p>
            <w:pPr>
              <w:spacing w:line="400" w:lineRule="exact"/>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val="en-US" w:eastAsia="zh-CN"/>
              </w:rPr>
              <w:t>0</w:t>
            </w:r>
            <w:r>
              <w:rPr>
                <w:rFonts w:hint="eastAsia" w:ascii="宋体" w:hAnsi="宋体" w:eastAsia="宋体" w:cs="宋体"/>
                <w:b/>
                <w:bCs/>
                <w:szCs w:val="21"/>
              </w:rPr>
              <w:t>）不符合招标文件中规定的其他实质性要求的；</w:t>
            </w:r>
          </w:p>
          <w:p>
            <w:pPr>
              <w:spacing w:line="400" w:lineRule="exact"/>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val="en-US" w:eastAsia="zh-CN"/>
              </w:rPr>
              <w:t>1</w:t>
            </w:r>
            <w:r>
              <w:rPr>
                <w:rFonts w:hint="eastAsia" w:ascii="宋体" w:hAnsi="宋体" w:eastAsia="宋体" w:cs="宋体"/>
                <w:b/>
                <w:bCs/>
                <w:szCs w:val="21"/>
              </w:rPr>
              <w:t>）投标行为违反招标投标法以及相关法律、法规和规定的。</w:t>
            </w:r>
          </w:p>
          <w:p>
            <w:pPr>
              <w:spacing w:line="400" w:lineRule="exact"/>
              <w:rPr>
                <w:rFonts w:ascii="宋体" w:hAnsi="宋体" w:eastAsia="宋体" w:cs="宋体"/>
                <w:b/>
                <w:bCs/>
                <w:szCs w:val="22"/>
              </w:rPr>
            </w:pPr>
            <w:r>
              <w:rPr>
                <w:rFonts w:hint="eastAsia" w:ascii="宋体" w:hAnsi="宋体" w:eastAsia="宋体" w:cs="宋体"/>
                <w:b/>
                <w:bCs/>
                <w:szCs w:val="21"/>
              </w:rPr>
              <w:t>（1</w:t>
            </w:r>
            <w:r>
              <w:rPr>
                <w:rFonts w:hint="eastAsia" w:ascii="宋体" w:hAnsi="宋体" w:eastAsia="宋体" w:cs="宋体"/>
                <w:b/>
                <w:bCs/>
                <w:szCs w:val="21"/>
                <w:lang w:val="en-US" w:eastAsia="zh-CN"/>
              </w:rPr>
              <w:t>2</w:t>
            </w:r>
            <w:r>
              <w:rPr>
                <w:rFonts w:hint="eastAsia" w:ascii="宋体" w:hAnsi="宋体" w:eastAsia="宋体" w:cs="宋体"/>
                <w:b/>
                <w:bCs/>
                <w:szCs w:val="21"/>
              </w:rPr>
              <w:t>）投标人“硬件特征码一致”与其他公司一致的。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2.1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构成招标文件的其他资料</w:t>
            </w:r>
          </w:p>
        </w:tc>
        <w:tc>
          <w:tcPr>
            <w:tcW w:w="5920" w:type="dxa"/>
            <w:vAlign w:val="center"/>
          </w:tcPr>
          <w:p>
            <w:pPr>
              <w:adjustRightInd w:val="0"/>
              <w:snapToGrid w:val="0"/>
              <w:spacing w:line="360" w:lineRule="exact"/>
              <w:rPr>
                <w:rFonts w:ascii="宋体" w:hAnsi="宋体" w:eastAsia="宋体" w:cs="宋体"/>
                <w:szCs w:val="21"/>
              </w:rPr>
            </w:pPr>
            <w:r>
              <w:rPr>
                <w:rFonts w:hint="eastAsia" w:ascii="宋体" w:hAnsi="宋体" w:eastAsia="宋体" w:cs="宋体"/>
                <w:szCs w:val="21"/>
              </w:rPr>
              <w:t>补充文件、澄清、修改、答疑发布形式：通过《河南省政府采购网》、《中国招标投标公共服务平台》、《开封市公共资源交易信息网》发布。招标文件的澄清、修改或补充文件在解释顺序方面优先于该类文件之前的文件。当招标文件及其澄清、修改或补充文件对同一内容表述不一致时，以最后发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2.2.1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投标人要求澄清招标文件</w:t>
            </w:r>
          </w:p>
        </w:tc>
        <w:tc>
          <w:tcPr>
            <w:tcW w:w="5920" w:type="dxa"/>
            <w:vAlign w:val="center"/>
          </w:tcPr>
          <w:p>
            <w:pPr>
              <w:spacing w:line="360" w:lineRule="auto"/>
              <w:rPr>
                <w:rFonts w:ascii="宋体" w:hAnsi="宋体" w:eastAsia="宋体" w:cs="宋体"/>
                <w:kern w:val="0"/>
                <w:szCs w:val="21"/>
              </w:rPr>
            </w:pPr>
            <w:r>
              <w:rPr>
                <w:rFonts w:hint="eastAsia" w:ascii="宋体" w:hAnsi="宋体" w:eastAsia="宋体" w:cs="宋体"/>
                <w:szCs w:val="21"/>
              </w:rPr>
              <w:t>时间：投标截止时间前</w:t>
            </w:r>
            <w:r>
              <w:rPr>
                <w:rFonts w:hint="eastAsia" w:ascii="宋体" w:hAnsi="宋体" w:eastAsia="宋体" w:cs="宋体"/>
                <w:szCs w:val="21"/>
                <w:u w:val="single"/>
              </w:rPr>
              <w:t xml:space="preserve"> 10 </w:t>
            </w:r>
            <w:r>
              <w:rPr>
                <w:rFonts w:hint="eastAsia" w:ascii="宋体" w:hAnsi="宋体" w:eastAsia="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2.2.2</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招标文件澄清发出的形式</w:t>
            </w:r>
          </w:p>
        </w:tc>
        <w:tc>
          <w:tcPr>
            <w:tcW w:w="5920" w:type="dxa"/>
            <w:vAlign w:val="center"/>
          </w:tcPr>
          <w:p>
            <w:pPr>
              <w:spacing w:line="380" w:lineRule="exact"/>
              <w:rPr>
                <w:rFonts w:ascii="宋体" w:hAnsi="宋体" w:eastAsia="宋体" w:cs="宋体"/>
              </w:rPr>
            </w:pPr>
            <w:r>
              <w:rPr>
                <w:rFonts w:hint="eastAsia" w:ascii="仿宋" w:hAnsi="仿宋" w:eastAsia="仿宋" w:cs="仿宋"/>
                <w:color w:val="auto"/>
                <w:sz w:val="24"/>
                <w:szCs w:val="24"/>
              </w:rPr>
              <w:t>《河南省政府采购网》、《中国招标投标公共服务平台》、《开封市公共资源交易信息网》</w:t>
            </w:r>
            <w:r>
              <w:rPr>
                <w:rFonts w:hint="eastAsia" w:ascii="宋体" w:hAnsi="宋体" w:eastAsia="宋体" w:cs="宋体"/>
                <w:szCs w:val="21"/>
              </w:rPr>
              <w:t>媒介发布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2.2.3</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投标人确认收到招标文件澄清</w:t>
            </w:r>
          </w:p>
        </w:tc>
        <w:tc>
          <w:tcPr>
            <w:tcW w:w="5920" w:type="dxa"/>
            <w:vAlign w:val="center"/>
          </w:tcPr>
          <w:p>
            <w:pPr>
              <w:spacing w:line="400" w:lineRule="exact"/>
              <w:rPr>
                <w:rFonts w:ascii="宋体" w:hAnsi="宋体" w:eastAsia="宋体" w:cs="宋体"/>
              </w:rPr>
            </w:pPr>
            <w:r>
              <w:rPr>
                <w:rFonts w:hint="eastAsia" w:ascii="宋体" w:hAnsi="宋体" w:eastAsia="宋体" w:cs="宋体"/>
                <w:color w:val="000000"/>
                <w:kern w:val="0"/>
                <w:szCs w:val="21"/>
              </w:rPr>
              <w:t>自招标文件澄清在相关网站发布起，即默认为投标人收到。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2.3.1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招标文件修改发出的形式</w:t>
            </w:r>
          </w:p>
        </w:tc>
        <w:tc>
          <w:tcPr>
            <w:tcW w:w="5920" w:type="dxa"/>
            <w:vAlign w:val="center"/>
          </w:tcPr>
          <w:p>
            <w:pPr>
              <w:spacing w:line="400" w:lineRule="exact"/>
              <w:rPr>
                <w:rFonts w:ascii="宋体" w:hAnsi="宋体" w:eastAsia="宋体" w:cs="宋体"/>
              </w:rPr>
            </w:pPr>
            <w:r>
              <w:rPr>
                <w:rFonts w:hint="eastAsia" w:ascii="宋体" w:hAnsi="宋体" w:eastAsia="宋体" w:cs="宋体"/>
                <w:color w:val="000000"/>
                <w:kern w:val="0"/>
                <w:szCs w:val="21"/>
              </w:rPr>
              <w:t>自招标文件修改在相关网站发布起，即默认为投标人收到。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2.3.2</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投标人确认收到招标文件修改</w:t>
            </w:r>
          </w:p>
        </w:tc>
        <w:tc>
          <w:tcPr>
            <w:tcW w:w="5920" w:type="dxa"/>
            <w:vAlign w:val="center"/>
          </w:tcPr>
          <w:p>
            <w:pPr>
              <w:autoSpaceDE w:val="0"/>
              <w:autoSpaceDN w:val="0"/>
              <w:adjustRightInd w:val="0"/>
              <w:spacing w:line="380" w:lineRule="exact"/>
              <w:ind w:right="35"/>
              <w:rPr>
                <w:rFonts w:ascii="宋体" w:hAnsi="宋体" w:eastAsia="宋体" w:cs="宋体"/>
                <w:spacing w:val="1"/>
                <w:kern w:val="0"/>
                <w:szCs w:val="21"/>
              </w:rPr>
            </w:pPr>
            <w:r>
              <w:rPr>
                <w:rFonts w:hint="eastAsia" w:ascii="宋体" w:hAnsi="宋体" w:eastAsia="宋体" w:cs="宋体"/>
                <w:spacing w:val="1"/>
                <w:kern w:val="0"/>
                <w:szCs w:val="21"/>
              </w:rPr>
              <w:t>招标文件修改一经发出即视为投标人已确认收到，请投标人关注</w:t>
            </w:r>
            <w:r>
              <w:rPr>
                <w:rFonts w:hint="eastAsia" w:ascii="宋体" w:hAnsi="宋体" w:eastAsia="宋体" w:cs="宋体"/>
                <w:szCs w:val="21"/>
              </w:rPr>
              <w:t>开封市公共资源交易信息网</w:t>
            </w:r>
            <w:r>
              <w:rPr>
                <w:rFonts w:hint="eastAsia" w:ascii="宋体" w:hAnsi="宋体" w:eastAsia="宋体" w:cs="宋体"/>
                <w:spacing w:val="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3.1.1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构成投标文件的其他资料</w:t>
            </w:r>
          </w:p>
        </w:tc>
        <w:tc>
          <w:tcPr>
            <w:tcW w:w="5920" w:type="dxa"/>
            <w:vAlign w:val="center"/>
          </w:tcPr>
          <w:p>
            <w:pPr>
              <w:autoSpaceDE w:val="0"/>
              <w:autoSpaceDN w:val="0"/>
              <w:adjustRightInd w:val="0"/>
              <w:spacing w:line="380" w:lineRule="exact"/>
              <w:ind w:right="35"/>
              <w:jc w:val="left"/>
              <w:rPr>
                <w:rFonts w:ascii="宋体" w:hAnsi="宋体" w:eastAsia="宋体" w:cs="宋体"/>
                <w:spacing w:val="1"/>
                <w:kern w:val="0"/>
                <w:szCs w:val="21"/>
              </w:rPr>
            </w:pPr>
            <w:r>
              <w:rPr>
                <w:rFonts w:hint="eastAsia" w:ascii="宋体" w:hAnsi="宋体" w:eastAsia="宋体" w:cs="宋体"/>
                <w:spacing w:val="1"/>
                <w:kern w:val="0"/>
                <w:szCs w:val="21"/>
              </w:rPr>
              <w:t>投标人认为需要提供的其他证明材料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3.2.5</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投标报价的其他要求</w:t>
            </w:r>
          </w:p>
        </w:tc>
        <w:tc>
          <w:tcPr>
            <w:tcW w:w="5920" w:type="dxa"/>
            <w:vAlign w:val="center"/>
          </w:tcPr>
          <w:p>
            <w:pPr>
              <w:spacing w:line="380" w:lineRule="exact"/>
              <w:rPr>
                <w:rFonts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80" w:lineRule="exact"/>
              <w:jc w:val="center"/>
              <w:rPr>
                <w:rFonts w:ascii="宋体" w:hAnsi="宋体" w:eastAsia="宋体" w:cs="宋体"/>
              </w:rPr>
            </w:pPr>
            <w:r>
              <w:rPr>
                <w:rFonts w:hint="eastAsia" w:ascii="宋体" w:hAnsi="宋体" w:eastAsia="宋体" w:cs="宋体"/>
              </w:rPr>
              <w:t>3.3.1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投标有效期</w:t>
            </w:r>
          </w:p>
        </w:tc>
        <w:tc>
          <w:tcPr>
            <w:tcW w:w="5920" w:type="dxa"/>
            <w:vAlign w:val="center"/>
          </w:tcPr>
          <w:p>
            <w:pPr>
              <w:spacing w:line="380" w:lineRule="exact"/>
              <w:jc w:val="left"/>
              <w:rPr>
                <w:rFonts w:ascii="宋体" w:hAnsi="宋体" w:eastAsia="宋体" w:cs="宋体"/>
                <w:szCs w:val="21"/>
              </w:rPr>
            </w:pPr>
            <w:bookmarkStart w:id="58" w:name="_Toc369531512"/>
            <w:bookmarkStart w:id="59" w:name="_Toc300834946"/>
            <w:bookmarkStart w:id="60" w:name="_Toc352691470"/>
            <w:bookmarkStart w:id="61" w:name="_Toc384308207"/>
            <w:bookmarkStart w:id="62" w:name="_Toc361508582"/>
            <w:bookmarkStart w:id="63" w:name="_Toc1789"/>
            <w:r>
              <w:rPr>
                <w:rFonts w:hint="eastAsia" w:ascii="宋体" w:hAnsi="宋体" w:eastAsia="宋体" w:cs="宋体"/>
                <w:szCs w:val="21"/>
              </w:rPr>
              <w:t>投标截止时间起90日历天</w:t>
            </w:r>
          </w:p>
        </w:tc>
      </w:tr>
      <w:bookmarkEnd w:id="58"/>
      <w:bookmarkEnd w:id="59"/>
      <w:bookmarkEnd w:id="60"/>
      <w:bookmarkEnd w:id="61"/>
      <w:bookmarkEnd w:id="62"/>
      <w:bookmark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3.4.1</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投标保证金</w:t>
            </w:r>
          </w:p>
        </w:tc>
        <w:tc>
          <w:tcPr>
            <w:tcW w:w="5920" w:type="dxa"/>
            <w:vAlign w:val="center"/>
          </w:tcPr>
          <w:p>
            <w:pPr>
              <w:spacing w:line="360" w:lineRule="auto"/>
              <w:rPr>
                <w:rFonts w:ascii="宋体" w:hAnsi="宋体" w:eastAsia="宋体" w:cs="宋体"/>
                <w:szCs w:val="21"/>
              </w:rPr>
            </w:pPr>
            <w:r>
              <w:rPr>
                <w:rFonts w:hint="eastAsia" w:ascii="宋体" w:hAnsi="宋体" w:eastAsia="宋体" w:cs="宋体"/>
                <w:szCs w:val="21"/>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3.5</w:t>
            </w:r>
          </w:p>
        </w:tc>
        <w:tc>
          <w:tcPr>
            <w:tcW w:w="2237" w:type="dxa"/>
            <w:vAlign w:val="center"/>
          </w:tcPr>
          <w:p>
            <w:pPr>
              <w:spacing w:line="380" w:lineRule="exact"/>
              <w:jc w:val="center"/>
              <w:rPr>
                <w:rFonts w:ascii="宋体" w:hAnsi="宋体" w:eastAsia="宋体" w:cs="宋体"/>
                <w:szCs w:val="21"/>
              </w:rPr>
            </w:pPr>
            <w:r>
              <w:rPr>
                <w:rFonts w:hint="eastAsia" w:ascii="宋体" w:hAnsi="宋体" w:eastAsia="宋体" w:cs="宋体"/>
              </w:rPr>
              <w:t>资格审查资料</w:t>
            </w:r>
            <w:r>
              <w:rPr>
                <w:rFonts w:hint="eastAsia" w:ascii="宋体" w:hAnsi="宋体" w:eastAsia="宋体" w:cs="宋体"/>
                <w:szCs w:val="21"/>
              </w:rPr>
              <w:t>的特殊要求</w:t>
            </w:r>
          </w:p>
        </w:tc>
        <w:tc>
          <w:tcPr>
            <w:tcW w:w="5920" w:type="dxa"/>
            <w:vAlign w:val="center"/>
          </w:tcPr>
          <w:p>
            <w:pPr>
              <w:pStyle w:val="10"/>
              <w:topLinePunct/>
              <w:spacing w:line="380" w:lineRule="exact"/>
              <w:rPr>
                <w:rFonts w:hAnsi="宋体" w:eastAsia="宋体" w:cs="宋体"/>
                <w:sz w:val="21"/>
                <w:szCs w:val="21"/>
              </w:rPr>
            </w:pPr>
            <w:r>
              <w:rPr>
                <w:rFonts w:hint="eastAsia" w:hAnsi="宋体" w:eastAsia="宋体" w:cs="宋体"/>
                <w:sz w:val="21"/>
                <w:szCs w:val="21"/>
              </w:rPr>
              <w:t>☑无</w:t>
            </w:r>
          </w:p>
          <w:p>
            <w:pPr>
              <w:pStyle w:val="10"/>
              <w:topLinePunct/>
              <w:spacing w:line="380" w:lineRule="exact"/>
              <w:rPr>
                <w:rFonts w:hAnsi="宋体" w:eastAsia="宋体" w:cs="宋体"/>
                <w:szCs w:val="22"/>
              </w:rPr>
            </w:pPr>
            <w:r>
              <w:rPr>
                <w:rFonts w:hint="eastAsia" w:hAnsi="宋体" w:eastAsia="宋体" w:cs="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3.5.2</w:t>
            </w:r>
          </w:p>
        </w:tc>
        <w:tc>
          <w:tcPr>
            <w:tcW w:w="2237" w:type="dxa"/>
            <w:vAlign w:val="center"/>
          </w:tcPr>
          <w:p>
            <w:pPr>
              <w:spacing w:line="380" w:lineRule="exact"/>
              <w:jc w:val="center"/>
              <w:rPr>
                <w:rFonts w:ascii="宋体" w:hAnsi="宋体" w:eastAsia="宋体" w:cs="宋体"/>
                <w:szCs w:val="21"/>
              </w:rPr>
            </w:pPr>
            <w:r>
              <w:rPr>
                <w:rFonts w:hint="eastAsia" w:ascii="宋体" w:hAnsi="宋体" w:eastAsia="宋体" w:cs="宋体"/>
              </w:rPr>
              <w:t>近年财务状况的年份要求</w:t>
            </w:r>
          </w:p>
        </w:tc>
        <w:tc>
          <w:tcPr>
            <w:tcW w:w="5920" w:type="dxa"/>
            <w:vAlign w:val="center"/>
          </w:tcPr>
          <w:p>
            <w:pPr>
              <w:spacing w:line="380" w:lineRule="exact"/>
              <w:rPr>
                <w:rFonts w:ascii="宋体" w:hAnsi="宋体" w:eastAsia="宋体" w:cs="宋体"/>
              </w:rPr>
            </w:pP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、202</w:t>
            </w:r>
            <w:r>
              <w:rPr>
                <w:rFonts w:hint="eastAsia" w:ascii="宋体" w:hAnsi="宋体" w:eastAsia="宋体" w:cs="宋体"/>
                <w:szCs w:val="21"/>
                <w:lang w:val="en-US" w:eastAsia="zh-CN"/>
              </w:rPr>
              <w:t>1</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rPr>
              <w:t>年任意1年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3.6</w:t>
            </w:r>
          </w:p>
        </w:tc>
        <w:tc>
          <w:tcPr>
            <w:tcW w:w="2237" w:type="dxa"/>
            <w:vAlign w:val="center"/>
          </w:tcPr>
          <w:p>
            <w:pPr>
              <w:spacing w:line="380" w:lineRule="exact"/>
              <w:jc w:val="center"/>
              <w:rPr>
                <w:rFonts w:ascii="宋体" w:hAnsi="宋体" w:eastAsia="宋体" w:cs="宋体"/>
              </w:rPr>
            </w:pPr>
            <w:r>
              <w:rPr>
                <w:rFonts w:hint="eastAsia" w:ascii="宋体" w:hAnsi="宋体" w:eastAsia="宋体" w:cs="宋体"/>
              </w:rPr>
              <w:t>是否允许递交备选投标方案</w:t>
            </w:r>
          </w:p>
        </w:tc>
        <w:tc>
          <w:tcPr>
            <w:tcW w:w="5920" w:type="dxa"/>
            <w:vAlign w:val="center"/>
          </w:tcPr>
          <w:p>
            <w:pPr>
              <w:pStyle w:val="10"/>
              <w:topLinePunct/>
              <w:spacing w:line="380" w:lineRule="exact"/>
              <w:rPr>
                <w:rFonts w:hAnsi="宋体" w:eastAsia="宋体" w:cs="宋体"/>
                <w:sz w:val="21"/>
                <w:szCs w:val="21"/>
              </w:rPr>
            </w:pPr>
            <w:r>
              <w:rPr>
                <w:rFonts w:hint="eastAsia" w:hAnsi="宋体" w:eastAsia="宋体" w:cs="宋体"/>
                <w:sz w:val="21"/>
                <w:szCs w:val="21"/>
              </w:rPr>
              <w:t>☑不允许</w:t>
            </w:r>
          </w:p>
          <w:p>
            <w:pPr>
              <w:spacing w:line="380" w:lineRule="exact"/>
              <w:rPr>
                <w:rFonts w:ascii="宋体" w:hAnsi="宋体" w:eastAsia="宋体" w:cs="宋体"/>
              </w:rPr>
            </w:pP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3.7.2</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投标文件所附证书证件要求</w:t>
            </w:r>
          </w:p>
        </w:tc>
        <w:tc>
          <w:tcPr>
            <w:tcW w:w="5920" w:type="dxa"/>
            <w:vAlign w:val="center"/>
          </w:tcPr>
          <w:p>
            <w:pPr>
              <w:spacing w:line="360" w:lineRule="auto"/>
              <w:rPr>
                <w:rFonts w:ascii="宋体" w:hAnsi="宋体" w:eastAsia="宋体" w:cs="宋体"/>
                <w:spacing w:val="1"/>
                <w:kern w:val="0"/>
                <w:szCs w:val="21"/>
              </w:rPr>
            </w:pPr>
            <w:r>
              <w:rPr>
                <w:rFonts w:hint="eastAsia" w:ascii="宋体" w:hAnsi="宋体" w:eastAsia="宋体" w:cs="宋体"/>
                <w:szCs w:val="21"/>
              </w:rPr>
              <w:t>投标文件要求所附证件为证书扫描件要求清晰、可辨。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60" w:lineRule="auto"/>
              <w:jc w:val="center"/>
              <w:rPr>
                <w:rFonts w:ascii="宋体" w:hAnsi="宋体" w:eastAsia="宋体" w:cs="宋体"/>
              </w:rPr>
            </w:pPr>
            <w:r>
              <w:rPr>
                <w:rFonts w:hint="eastAsia" w:ascii="宋体" w:hAnsi="宋体" w:eastAsia="宋体" w:cs="宋体"/>
                <w:szCs w:val="21"/>
              </w:rPr>
              <w:t>3.7.3</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投标文件签字或盖章要求</w:t>
            </w:r>
          </w:p>
        </w:tc>
        <w:tc>
          <w:tcPr>
            <w:tcW w:w="5920" w:type="dxa"/>
            <w:vAlign w:val="center"/>
          </w:tcPr>
          <w:p>
            <w:pPr>
              <w:adjustRightInd w:val="0"/>
              <w:snapToGrid w:val="0"/>
              <w:spacing w:line="360" w:lineRule="exact"/>
              <w:rPr>
                <w:rFonts w:ascii="宋体" w:hAnsi="宋体" w:eastAsia="宋体" w:cs="宋体"/>
              </w:rPr>
            </w:pPr>
            <w:r>
              <w:rPr>
                <w:rFonts w:hint="eastAsia" w:ascii="宋体" w:hAnsi="宋体" w:eastAsia="宋体" w:cs="宋体"/>
                <w:szCs w:val="21"/>
              </w:rPr>
              <w:t>按照招标文件中要求</w:t>
            </w:r>
            <w:r>
              <w:rPr>
                <w:rFonts w:hint="eastAsia" w:ascii="宋体" w:hAnsi="宋体" w:eastAsia="宋体" w:cs="宋体"/>
              </w:rPr>
              <w:t>投标文件采用单位和个人数字证书，在相应位置加盖电子签章；</w:t>
            </w:r>
            <w:r>
              <w:rPr>
                <w:rFonts w:hint="eastAsia" w:ascii="宋体" w:hAnsi="宋体" w:eastAsia="宋体" w:cs="宋体"/>
                <w:szCs w:val="21"/>
              </w:rPr>
              <w:t>（法定代表人身份证明书或授权委托书，以及投标文件签署、签字、盖章及内容均应符合格式要求，否则投标文件无效）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60" w:lineRule="auto"/>
              <w:jc w:val="center"/>
              <w:rPr>
                <w:rFonts w:ascii="宋体" w:hAnsi="宋体" w:eastAsia="宋体" w:cs="宋体"/>
              </w:rPr>
            </w:pPr>
            <w:r>
              <w:rPr>
                <w:rFonts w:hint="eastAsia" w:ascii="宋体" w:hAnsi="宋体" w:eastAsia="宋体" w:cs="宋体"/>
                <w:szCs w:val="21"/>
              </w:rPr>
              <w:t>4.1.1</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投标文件加密要求</w:t>
            </w:r>
          </w:p>
        </w:tc>
        <w:tc>
          <w:tcPr>
            <w:tcW w:w="5920" w:type="dxa"/>
            <w:vAlign w:val="center"/>
          </w:tcPr>
          <w:p>
            <w:pPr>
              <w:adjustRightInd w:val="0"/>
              <w:snapToGrid w:val="0"/>
              <w:spacing w:line="360" w:lineRule="exact"/>
              <w:rPr>
                <w:rFonts w:ascii="宋体" w:hAnsi="宋体" w:eastAsia="宋体" w:cs="宋体"/>
                <w:szCs w:val="22"/>
              </w:rPr>
            </w:pPr>
            <w:r>
              <w:rPr>
                <w:rFonts w:hint="eastAsia" w:ascii="宋体" w:hAnsi="宋体" w:eastAsia="宋体" w:cs="宋体"/>
                <w:szCs w:val="21"/>
              </w:rPr>
              <w:t>投标人需在投标截止时间前在开封市公共资源交易中心网站</w:t>
            </w:r>
            <w:r>
              <w:rPr>
                <w:rFonts w:hint="eastAsia" w:ascii="宋体" w:hAnsi="宋体" w:eastAsia="宋体" w:cs="宋体"/>
                <w:szCs w:val="21"/>
                <w:shd w:val="clear" w:color="auto" w:fill="FFFFFF"/>
              </w:rPr>
              <w:t>http://www.kfsggzyjyw.cn/kfggzy</w:t>
            </w:r>
            <w:r>
              <w:rPr>
                <w:rFonts w:hint="eastAsia" w:ascii="宋体" w:hAnsi="宋体" w:eastAsia="宋体" w:cs="宋体"/>
                <w:bCs/>
                <w:szCs w:val="21"/>
              </w:rPr>
              <w:t>会员系统中加密上传电子投标文件并关注推送消息。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4.2.1</w:t>
            </w:r>
          </w:p>
        </w:tc>
        <w:tc>
          <w:tcPr>
            <w:tcW w:w="2237" w:type="dxa"/>
            <w:vAlign w:val="center"/>
          </w:tcPr>
          <w:p>
            <w:pPr>
              <w:adjustRightInd w:val="0"/>
              <w:snapToGrid w:val="0"/>
              <w:spacing w:line="320" w:lineRule="exact"/>
              <w:jc w:val="center"/>
              <w:rPr>
                <w:rFonts w:ascii="宋体" w:hAnsi="宋体" w:eastAsia="宋体" w:cs="宋体"/>
                <w:szCs w:val="21"/>
                <w:shd w:val="clear" w:color="FFFFFF" w:fill="D9D9D9"/>
              </w:rPr>
            </w:pPr>
            <w:r>
              <w:rPr>
                <w:rFonts w:hint="eastAsia" w:ascii="宋体" w:hAnsi="宋体" w:eastAsia="宋体" w:cs="宋体"/>
                <w:szCs w:val="21"/>
              </w:rPr>
              <w:t>投标截止时间</w:t>
            </w:r>
          </w:p>
        </w:tc>
        <w:tc>
          <w:tcPr>
            <w:tcW w:w="5920" w:type="dxa"/>
            <w:vAlign w:val="center"/>
          </w:tcPr>
          <w:p>
            <w:pPr>
              <w:spacing w:line="360" w:lineRule="auto"/>
              <w:rPr>
                <w:rFonts w:ascii="宋体" w:hAnsi="宋体" w:eastAsia="宋体" w:cs="宋体"/>
                <w:szCs w:val="21"/>
              </w:rPr>
            </w:pPr>
            <w:r>
              <w:rPr>
                <w:rFonts w:hint="eastAsia" w:ascii="宋体" w:hAnsi="宋体" w:eastAsia="宋体" w:cs="宋体"/>
                <w:b/>
                <w:szCs w:val="21"/>
                <w:shd w:val="clear" w:color="auto" w:fill="FFFFFF"/>
              </w:rPr>
              <w:t>202</w:t>
            </w:r>
            <w:r>
              <w:rPr>
                <w:rFonts w:hint="eastAsia" w:ascii="宋体" w:hAnsi="宋体" w:eastAsia="宋体" w:cs="宋体"/>
                <w:b/>
                <w:szCs w:val="21"/>
                <w:shd w:val="clear" w:color="auto" w:fill="FFFFFF"/>
                <w:lang w:val="en-US" w:eastAsia="zh-CN"/>
              </w:rPr>
              <w:t>3</w:t>
            </w:r>
            <w:r>
              <w:rPr>
                <w:rFonts w:hint="eastAsia" w:ascii="宋体" w:hAnsi="宋体" w:eastAsia="宋体" w:cs="宋体"/>
                <w:b/>
                <w:szCs w:val="21"/>
                <w:shd w:val="clear" w:color="auto" w:fill="FFFFFF"/>
              </w:rPr>
              <w:t>年</w:t>
            </w:r>
            <w:r>
              <w:rPr>
                <w:rFonts w:hint="eastAsia" w:ascii="宋体" w:hAnsi="宋体" w:eastAsia="宋体" w:cs="宋体"/>
                <w:b/>
                <w:szCs w:val="21"/>
                <w:shd w:val="clear" w:color="auto" w:fill="FFFFFF"/>
                <w:lang w:val="en-US" w:eastAsia="zh-CN"/>
              </w:rPr>
              <w:t>8</w:t>
            </w:r>
            <w:r>
              <w:rPr>
                <w:rFonts w:hint="eastAsia" w:ascii="宋体" w:hAnsi="宋体" w:eastAsia="宋体" w:cs="宋体"/>
                <w:b/>
                <w:szCs w:val="21"/>
                <w:shd w:val="clear" w:color="auto" w:fill="FFFFFF"/>
              </w:rPr>
              <w:t>月</w:t>
            </w:r>
            <w:r>
              <w:rPr>
                <w:rFonts w:hint="eastAsia" w:ascii="宋体" w:hAnsi="宋体" w:eastAsia="宋体" w:cs="宋体"/>
                <w:b/>
                <w:szCs w:val="21"/>
                <w:shd w:val="clear" w:color="auto" w:fill="FFFFFF"/>
                <w:lang w:val="en-US" w:eastAsia="zh-CN"/>
              </w:rPr>
              <w:t>11</w:t>
            </w:r>
            <w:r>
              <w:rPr>
                <w:rFonts w:hint="eastAsia" w:ascii="宋体" w:hAnsi="宋体" w:eastAsia="宋体" w:cs="宋体"/>
                <w:b/>
                <w:szCs w:val="21"/>
                <w:shd w:val="clear" w:color="auto" w:fill="FFFFFF"/>
              </w:rPr>
              <w:t>日上午09时</w:t>
            </w:r>
            <w:r>
              <w:rPr>
                <w:rFonts w:hint="eastAsia" w:ascii="宋体" w:hAnsi="宋体" w:eastAsia="宋体" w:cs="宋体"/>
                <w:b/>
                <w:szCs w:val="21"/>
                <w:shd w:val="clear" w:color="auto" w:fill="FFFFFF"/>
                <w:lang w:val="en-US" w:eastAsia="zh-CN"/>
              </w:rPr>
              <w:t>30</w:t>
            </w:r>
            <w:r>
              <w:rPr>
                <w:rFonts w:hint="eastAsia" w:ascii="宋体" w:hAnsi="宋体" w:eastAsia="宋体" w:cs="宋体"/>
                <w:b/>
                <w:szCs w:val="21"/>
                <w:shd w:val="clear" w:color="auto" w:fill="FFFFFF"/>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spacing w:line="360" w:lineRule="auto"/>
              <w:jc w:val="center"/>
              <w:rPr>
                <w:rFonts w:ascii="宋体" w:hAnsi="宋体" w:eastAsia="宋体" w:cs="宋体"/>
              </w:rPr>
            </w:pPr>
            <w:r>
              <w:rPr>
                <w:rFonts w:hint="eastAsia" w:ascii="宋体" w:hAnsi="宋体" w:eastAsia="宋体" w:cs="宋体"/>
              </w:rPr>
              <w:t>4.2.2</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递交投标文件地点</w:t>
            </w:r>
          </w:p>
        </w:tc>
        <w:tc>
          <w:tcPr>
            <w:tcW w:w="5920" w:type="dxa"/>
            <w:vAlign w:val="center"/>
          </w:tcPr>
          <w:p>
            <w:pPr>
              <w:adjustRightInd w:val="0"/>
              <w:snapToGrid w:val="0"/>
              <w:spacing w:line="360" w:lineRule="exact"/>
              <w:rPr>
                <w:rFonts w:ascii="宋体" w:hAnsi="宋体" w:eastAsia="宋体" w:cs="宋体"/>
                <w:szCs w:val="21"/>
              </w:rPr>
            </w:pPr>
            <w:r>
              <w:rPr>
                <w:rFonts w:hint="eastAsia" w:ascii="宋体" w:hAnsi="宋体" w:eastAsia="宋体" w:cs="宋体"/>
                <w:szCs w:val="21"/>
              </w:rPr>
              <w:t>电子投标文件递交地点：电子投标文件须在投标截止时间前在开封市公共资源交易中心网站（</w:t>
            </w:r>
            <w:r>
              <w:rPr>
                <w:rFonts w:hint="eastAsia" w:ascii="宋体" w:hAnsi="宋体" w:eastAsia="宋体" w:cs="宋体"/>
                <w:szCs w:val="21"/>
                <w:shd w:val="clear" w:color="auto" w:fill="FFFFFF"/>
              </w:rPr>
              <w:t>http://www.kfsggzyjyw.cn/kfggzy</w:t>
            </w:r>
            <w:r>
              <w:rPr>
                <w:rFonts w:hint="eastAsia" w:ascii="宋体" w:hAnsi="宋体" w:eastAsia="宋体" w:cs="宋体"/>
                <w:szCs w:val="21"/>
              </w:rPr>
              <w:t>）会员系统中加密上传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65" w:type="dxa"/>
            <w:vAlign w:val="center"/>
          </w:tcPr>
          <w:p>
            <w:pPr>
              <w:spacing w:line="360" w:lineRule="auto"/>
              <w:jc w:val="center"/>
              <w:rPr>
                <w:rFonts w:ascii="宋体" w:hAnsi="宋体" w:eastAsia="宋体" w:cs="宋体"/>
              </w:rPr>
            </w:pPr>
            <w:r>
              <w:rPr>
                <w:rFonts w:hint="eastAsia" w:ascii="宋体" w:hAnsi="宋体" w:eastAsia="宋体" w:cs="宋体"/>
              </w:rPr>
              <w:t>5.1</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开标时间和地点</w:t>
            </w:r>
          </w:p>
        </w:tc>
        <w:tc>
          <w:tcPr>
            <w:tcW w:w="5920" w:type="dxa"/>
            <w:vAlign w:val="center"/>
          </w:tcPr>
          <w:p>
            <w:pPr>
              <w:adjustRightInd w:val="0"/>
              <w:snapToGrid w:val="0"/>
              <w:spacing w:line="360" w:lineRule="exact"/>
              <w:rPr>
                <w:rFonts w:ascii="宋体" w:hAnsi="宋体" w:eastAsia="宋体" w:cs="宋体"/>
                <w:szCs w:val="20"/>
              </w:rPr>
            </w:pPr>
            <w:r>
              <w:rPr>
                <w:rFonts w:hint="eastAsia" w:ascii="宋体" w:hAnsi="宋体" w:eastAsia="宋体" w:cs="宋体"/>
                <w:szCs w:val="20"/>
              </w:rPr>
              <w:t>开标时间：同投标截止时间</w:t>
            </w:r>
          </w:p>
          <w:p>
            <w:pPr>
              <w:adjustRightInd w:val="0"/>
              <w:snapToGrid w:val="0"/>
              <w:spacing w:line="360" w:lineRule="exact"/>
              <w:rPr>
                <w:rFonts w:ascii="宋体" w:hAnsi="宋体" w:eastAsia="宋体" w:cs="宋体"/>
                <w:szCs w:val="21"/>
              </w:rPr>
            </w:pPr>
            <w:r>
              <w:rPr>
                <w:rFonts w:hint="eastAsia" w:ascii="宋体" w:hAnsi="宋体" w:eastAsia="宋体" w:cs="宋体"/>
                <w:szCs w:val="20"/>
              </w:rPr>
              <w:t>开标地点：</w:t>
            </w:r>
            <w:r>
              <w:rPr>
                <w:rFonts w:hint="eastAsia" w:ascii="宋体" w:hAnsi="宋体" w:cs="仿宋_GB2312"/>
                <w:color w:val="auto"/>
                <w:kern w:val="0"/>
                <w:szCs w:val="21"/>
                <w:highlight w:val="none"/>
              </w:rPr>
              <w:t>开封市祥符区经一路与纬三路交叉口市民之家10楼</w:t>
            </w:r>
            <w:r>
              <w:rPr>
                <w:rFonts w:hint="eastAsia" w:ascii="宋体" w:hAnsi="宋体" w:eastAsia="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65" w:type="dxa"/>
            <w:vAlign w:val="center"/>
          </w:tcPr>
          <w:p>
            <w:pPr>
              <w:spacing w:line="360" w:lineRule="auto"/>
              <w:jc w:val="center"/>
              <w:rPr>
                <w:rFonts w:ascii="宋体" w:hAnsi="宋体" w:eastAsia="宋体" w:cs="宋体"/>
              </w:rPr>
            </w:pPr>
            <w:r>
              <w:rPr>
                <w:rFonts w:hint="eastAsia" w:ascii="宋体" w:hAnsi="宋体" w:eastAsia="宋体" w:cs="宋体"/>
              </w:rPr>
              <w:t>5.2</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开标程序</w:t>
            </w:r>
          </w:p>
        </w:tc>
        <w:tc>
          <w:tcPr>
            <w:tcW w:w="5920" w:type="dxa"/>
            <w:vAlign w:val="center"/>
          </w:tcPr>
          <w:p>
            <w:pPr>
              <w:numPr>
                <w:ilvl w:val="0"/>
                <w:numId w:val="1"/>
              </w:numPr>
              <w:adjustRightInd w:val="0"/>
              <w:snapToGrid w:val="0"/>
              <w:spacing w:line="420" w:lineRule="exact"/>
              <w:jc w:val="left"/>
              <w:rPr>
                <w:rFonts w:ascii="宋体" w:hAnsi="宋体" w:eastAsia="宋体" w:cs="宋体"/>
                <w:szCs w:val="21"/>
              </w:rPr>
            </w:pPr>
            <w:r>
              <w:rPr>
                <w:rFonts w:hint="eastAsia" w:ascii="宋体" w:hAnsi="宋体" w:eastAsia="宋体" w:cs="宋体"/>
                <w:szCs w:val="21"/>
              </w:rPr>
              <w:t>本项目采用“远程不见面”开标方式。</w:t>
            </w:r>
          </w:p>
          <w:p>
            <w:pPr>
              <w:numPr>
                <w:ilvl w:val="0"/>
                <w:numId w:val="1"/>
              </w:numPr>
              <w:adjustRightInd w:val="0"/>
              <w:snapToGrid w:val="0"/>
              <w:spacing w:line="420" w:lineRule="exact"/>
              <w:jc w:val="left"/>
              <w:rPr>
                <w:rFonts w:ascii="宋体" w:hAnsi="宋体" w:eastAsia="宋体" w:cs="宋体"/>
                <w:szCs w:val="21"/>
              </w:rPr>
            </w:pPr>
            <w:r>
              <w:rPr>
                <w:rFonts w:hint="eastAsia" w:ascii="宋体" w:hAnsi="宋体" w:eastAsia="宋体" w:cs="宋体"/>
                <w:szCs w:val="21"/>
              </w:rPr>
              <w:t>投标人无需到开封市公共资源交易中心现场参加开标会议。</w:t>
            </w:r>
          </w:p>
          <w:p>
            <w:pPr>
              <w:numPr>
                <w:ilvl w:val="0"/>
                <w:numId w:val="1"/>
              </w:numPr>
              <w:adjustRightInd w:val="0"/>
              <w:snapToGrid w:val="0"/>
              <w:spacing w:line="420" w:lineRule="exact"/>
              <w:jc w:val="left"/>
              <w:rPr>
                <w:rFonts w:ascii="宋体" w:hAnsi="宋体" w:eastAsia="宋体" w:cs="宋体"/>
                <w:szCs w:val="21"/>
              </w:rPr>
            </w:pPr>
            <w:r>
              <w:rPr>
                <w:rFonts w:hint="eastAsia" w:ascii="宋体" w:hAnsi="宋体" w:eastAsia="宋体" w:cs="宋体"/>
                <w:szCs w:val="21"/>
              </w:rPr>
              <w:t>投标人应当在开标时间前,登录远程开标大厅,在线准时参加开标活动，开标活动开始后各投标人对电子投标文件进行解密，解密完成后各投标人的电子投标文件的实质性内容将自动显示在网页中。</w:t>
            </w:r>
          </w:p>
          <w:p>
            <w:pPr>
              <w:numPr>
                <w:ilvl w:val="0"/>
                <w:numId w:val="1"/>
              </w:numPr>
              <w:adjustRightInd w:val="0"/>
              <w:snapToGrid w:val="0"/>
              <w:spacing w:line="420" w:lineRule="exact"/>
              <w:jc w:val="left"/>
              <w:rPr>
                <w:rFonts w:ascii="宋体" w:hAnsi="宋体" w:eastAsia="宋体" w:cs="宋体"/>
                <w:szCs w:val="21"/>
              </w:rPr>
            </w:pPr>
            <w:r>
              <w:rPr>
                <w:rFonts w:hint="eastAsia" w:ascii="宋体" w:hAnsi="宋体" w:eastAsia="宋体" w:cs="宋体"/>
                <w:szCs w:val="21"/>
              </w:rPr>
              <w:t>投标人在投标截止时间前未上传电子投标文件的将视为放弃投标，因投标人原因造成投标文件未解密成功的，视为撤销其投标文件；</w:t>
            </w:r>
          </w:p>
          <w:p>
            <w:pPr>
              <w:numPr>
                <w:ilvl w:val="0"/>
                <w:numId w:val="1"/>
              </w:numPr>
              <w:adjustRightInd w:val="0"/>
              <w:snapToGrid w:val="0"/>
              <w:spacing w:line="420" w:lineRule="exact"/>
              <w:jc w:val="left"/>
              <w:rPr>
                <w:rFonts w:ascii="宋体" w:hAnsi="宋体" w:eastAsia="宋体" w:cs="宋体"/>
                <w:szCs w:val="21"/>
              </w:rPr>
            </w:pPr>
            <w:r>
              <w:rPr>
                <w:rFonts w:hint="eastAsia" w:ascii="宋体" w:hAnsi="宋体" w:eastAsia="宋体" w:cs="宋体"/>
                <w:szCs w:val="21"/>
              </w:rPr>
              <w:t>投标人在参加远程开标会议时，投标人如果对开标过程有异议的，可在当前页面中提出质疑，可以在解密过程中以及解密倒计时结束后5分钟内提出，如果所有投标人都已解密，可在解密过程中及最后一个投标人解密之后5分钟内提出；可以在解密环节看到其他投标人解密状态。</w:t>
            </w:r>
          </w:p>
          <w:p>
            <w:pPr>
              <w:adjustRightInd w:val="0"/>
              <w:snapToGrid w:val="0"/>
              <w:spacing w:line="360" w:lineRule="exact"/>
              <w:rPr>
                <w:rFonts w:ascii="宋体" w:hAnsi="宋体" w:eastAsia="宋体" w:cs="宋体"/>
                <w:szCs w:val="22"/>
              </w:rPr>
            </w:pPr>
            <w:r>
              <w:rPr>
                <w:rFonts w:hint="eastAsia" w:ascii="宋体" w:hAnsi="宋体" w:eastAsia="宋体" w:cs="宋体"/>
                <w:szCs w:val="21"/>
              </w:rPr>
              <w:t xml:space="preserve">具体开标程序及投标人操作指南详见http://www.kfsggzyjyw.cn/kfczgc/24421.jhtml </w:t>
            </w:r>
            <w:r>
              <w:fldChar w:fldCharType="begin"/>
            </w:r>
            <w:r>
              <w:instrText xml:space="preserve"> HYPERLINK "http://www.kfsggzyjyw.cn/u/cms/www/202002/开封市公共资源交易平台不见面开标系统操作手册-投标单位.pdf" </w:instrText>
            </w:r>
            <w:r>
              <w:fldChar w:fldCharType="separate"/>
            </w:r>
            <w:r>
              <w:rPr>
                <w:rFonts w:hint="eastAsia" w:ascii="宋体" w:hAnsi="宋体" w:eastAsia="宋体" w:cs="宋体"/>
                <w:szCs w:val="21"/>
              </w:rPr>
              <w:t>开封市公共资源交易平台不见面开标系统操作手册</w:t>
            </w:r>
            <w:r>
              <w:rPr>
                <w:rFonts w:hint="eastAsia" w:ascii="宋体" w:hAnsi="宋体" w:eastAsia="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65" w:type="dxa"/>
            <w:vAlign w:val="center"/>
          </w:tcPr>
          <w:p>
            <w:pPr>
              <w:spacing w:line="360" w:lineRule="auto"/>
              <w:jc w:val="center"/>
              <w:rPr>
                <w:rFonts w:ascii="宋体" w:hAnsi="宋体" w:eastAsia="宋体" w:cs="宋体"/>
              </w:rPr>
            </w:pPr>
            <w:r>
              <w:rPr>
                <w:rFonts w:hint="eastAsia" w:ascii="宋体" w:hAnsi="宋体" w:eastAsia="宋体" w:cs="宋体"/>
                <w:szCs w:val="21"/>
              </w:rPr>
              <w:t>6.1.1</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评标委员会的组建</w:t>
            </w:r>
          </w:p>
        </w:tc>
        <w:tc>
          <w:tcPr>
            <w:tcW w:w="5920" w:type="dxa"/>
            <w:vAlign w:val="center"/>
          </w:tcPr>
          <w:p>
            <w:pPr>
              <w:adjustRightInd w:val="0"/>
              <w:snapToGrid w:val="0"/>
              <w:spacing w:line="360" w:lineRule="exact"/>
              <w:rPr>
                <w:rFonts w:ascii="宋体" w:hAnsi="宋体" w:eastAsia="宋体" w:cs="宋体"/>
                <w:szCs w:val="20"/>
              </w:rPr>
            </w:pPr>
            <w:r>
              <w:rPr>
                <w:rFonts w:hint="eastAsia" w:ascii="宋体" w:hAnsi="宋体" w:eastAsia="宋体" w:cs="宋体"/>
                <w:szCs w:val="20"/>
              </w:rPr>
              <w:t>评标委员会构成：5人，相关经济1人、技术专家3人；业主代表1人。</w:t>
            </w:r>
          </w:p>
          <w:p>
            <w:pPr>
              <w:adjustRightInd w:val="0"/>
              <w:snapToGrid w:val="0"/>
              <w:spacing w:line="360" w:lineRule="exact"/>
              <w:rPr>
                <w:rFonts w:ascii="宋体" w:hAnsi="宋体" w:eastAsia="宋体" w:cs="宋体"/>
              </w:rPr>
            </w:pPr>
            <w:r>
              <w:rPr>
                <w:rFonts w:hint="eastAsia" w:ascii="宋体" w:hAnsi="宋体" w:eastAsia="宋体" w:cs="宋体"/>
                <w:szCs w:val="20"/>
              </w:rPr>
              <w:t>评标专家确定方式：在河南省综合评标专家库中随机抽取。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165" w:type="dxa"/>
            <w:vAlign w:val="center"/>
          </w:tcPr>
          <w:p>
            <w:pPr>
              <w:spacing w:line="360" w:lineRule="auto"/>
              <w:jc w:val="center"/>
              <w:rPr>
                <w:rFonts w:ascii="宋体" w:hAnsi="宋体" w:eastAsia="宋体" w:cs="宋体"/>
              </w:rPr>
            </w:pPr>
            <w:r>
              <w:rPr>
                <w:rFonts w:hint="eastAsia" w:ascii="宋体" w:hAnsi="宋体" w:eastAsia="宋体" w:cs="宋体"/>
                <w:szCs w:val="21"/>
              </w:rPr>
              <w:t>6.3.2</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cs="宋体"/>
                <w:szCs w:val="21"/>
              </w:rPr>
              <w:t>是否授权评标委员会确定中标人</w:t>
            </w:r>
          </w:p>
        </w:tc>
        <w:tc>
          <w:tcPr>
            <w:tcW w:w="5920" w:type="dxa"/>
            <w:vAlign w:val="center"/>
          </w:tcPr>
          <w:p>
            <w:pPr>
              <w:adjustRightInd w:val="0"/>
              <w:spacing w:line="396" w:lineRule="exact"/>
              <w:textAlignment w:val="baseline"/>
              <w:rPr>
                <w:rFonts w:ascii="宋体" w:hAnsi="宋体" w:eastAsia="宋体" w:cs="宋体"/>
              </w:rPr>
            </w:pPr>
            <w:r>
              <w:rPr>
                <w:rFonts w:hint="eastAsia" w:ascii="宋体" w:hAnsi="宋体" w:eastAsia="宋体" w:cs="宋体"/>
              </w:rPr>
              <w:t>□是</w:t>
            </w:r>
          </w:p>
          <w:p>
            <w:pPr>
              <w:adjustRightInd w:val="0"/>
              <w:snapToGrid w:val="0"/>
              <w:spacing w:line="360" w:lineRule="exact"/>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否，</w:t>
            </w:r>
            <w:r>
              <w:rPr>
                <w:rFonts w:hint="eastAsia" w:ascii="宋体" w:hAnsi="宋体" w:cs="宋体"/>
                <w:szCs w:val="21"/>
              </w:rPr>
              <w:t>推荐的中标候选人数：</w:t>
            </w:r>
            <w:r>
              <w:rPr>
                <w:rFonts w:hint="eastAsia" w:ascii="宋体" w:hAnsi="宋体" w:eastAsia="宋体" w:cs="宋体"/>
              </w:rPr>
              <w:t>按</w:t>
            </w:r>
            <w:r>
              <w:rPr>
                <w:rFonts w:hint="eastAsia" w:ascii="宋体" w:hAnsi="宋体" w:eastAsia="宋体" w:cs="宋体"/>
                <w:szCs w:val="21"/>
              </w:rPr>
              <w:t>总得分高于80分（含80分）的投标人，</w:t>
            </w:r>
            <w:r>
              <w:rPr>
                <w:rFonts w:hint="eastAsia" w:ascii="宋体" w:hAnsi="宋体" w:eastAsia="宋体" w:cs="宋体"/>
              </w:rPr>
              <w:t>推荐多家中标候选人。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165" w:type="dxa"/>
            <w:vAlign w:val="center"/>
          </w:tcPr>
          <w:p>
            <w:pPr>
              <w:spacing w:line="360" w:lineRule="auto"/>
              <w:jc w:val="center"/>
              <w:rPr>
                <w:rFonts w:ascii="宋体" w:hAnsi="宋体" w:eastAsia="宋体" w:cs="宋体"/>
              </w:rPr>
            </w:pPr>
            <w:r>
              <w:rPr>
                <w:rFonts w:hint="eastAsia" w:ascii="宋体" w:hAnsi="宋体" w:eastAsia="宋体" w:cs="宋体"/>
              </w:rPr>
              <w:t>7.1</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szCs w:val="21"/>
              </w:rPr>
              <w:t>入围候选人公示媒介</w:t>
            </w:r>
          </w:p>
        </w:tc>
        <w:tc>
          <w:tcPr>
            <w:tcW w:w="5920" w:type="dxa"/>
            <w:vAlign w:val="center"/>
          </w:tcPr>
          <w:p>
            <w:pPr>
              <w:widowControl/>
              <w:adjustRightInd w:val="0"/>
              <w:snapToGrid w:val="0"/>
              <w:spacing w:line="360" w:lineRule="exact"/>
              <w:jc w:val="left"/>
              <w:rPr>
                <w:rFonts w:ascii="宋体" w:hAnsi="宋体" w:eastAsia="宋体" w:cs="宋体"/>
              </w:rPr>
            </w:pPr>
            <w:r>
              <w:rPr>
                <w:rFonts w:hint="eastAsia" w:ascii="宋体" w:hAnsi="宋体" w:eastAsia="宋体" w:cs="宋体"/>
              </w:rPr>
              <w:t>公示媒介：《河南省政府采购网》、《中国招标投标公共服务平台》、《开封市公共资源交易信息网》同时发布。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65" w:type="dxa"/>
            <w:vAlign w:val="center"/>
          </w:tcPr>
          <w:p>
            <w:pPr>
              <w:spacing w:line="360" w:lineRule="auto"/>
              <w:jc w:val="center"/>
              <w:rPr>
                <w:rFonts w:ascii="宋体" w:hAnsi="宋体" w:eastAsia="宋体" w:cs="宋体"/>
              </w:rPr>
            </w:pPr>
            <w:r>
              <w:rPr>
                <w:rFonts w:hint="eastAsia" w:ascii="宋体" w:hAnsi="宋体" w:eastAsia="宋体" w:cs="宋体"/>
              </w:rPr>
              <w:t>9</w:t>
            </w:r>
          </w:p>
        </w:tc>
        <w:tc>
          <w:tcPr>
            <w:tcW w:w="2237" w:type="dxa"/>
            <w:vAlign w:val="center"/>
          </w:tcPr>
          <w:p>
            <w:pPr>
              <w:adjustRightInd w:val="0"/>
              <w:snapToGrid w:val="0"/>
              <w:spacing w:line="320" w:lineRule="exact"/>
              <w:jc w:val="center"/>
              <w:rPr>
                <w:rFonts w:ascii="宋体" w:hAnsi="宋体" w:eastAsia="宋体" w:cs="宋体"/>
              </w:rPr>
            </w:pPr>
            <w:r>
              <w:rPr>
                <w:rFonts w:hint="eastAsia" w:ascii="宋体" w:hAnsi="宋体" w:eastAsia="宋体" w:cs="宋体"/>
              </w:rPr>
              <w:t>是否采用电子招标投标</w:t>
            </w:r>
          </w:p>
        </w:tc>
        <w:tc>
          <w:tcPr>
            <w:tcW w:w="5920" w:type="dxa"/>
            <w:vAlign w:val="center"/>
          </w:tcPr>
          <w:p>
            <w:pPr>
              <w:adjustRightInd w:val="0"/>
              <w:snapToGrid w:val="0"/>
              <w:spacing w:line="360" w:lineRule="exact"/>
              <w:rPr>
                <w:rFonts w:ascii="宋体" w:hAnsi="宋体" w:eastAsia="宋体" w:cs="宋体"/>
                <w:sz w:val="32"/>
              </w:rPr>
            </w:pPr>
            <w:r>
              <w:rPr>
                <w:rFonts w:hint="eastAsia" w:ascii="宋体" w:hAnsi="宋体" w:eastAsia="宋体" w:cs="宋体"/>
                <w:szCs w:val="21"/>
              </w:rPr>
              <w:t>是，具体要求</w:t>
            </w:r>
            <w:r>
              <w:rPr>
                <w:rFonts w:hint="eastAsia" w:ascii="宋体" w:hAnsi="宋体" w:eastAsia="宋体" w:cs="宋体"/>
                <w:szCs w:val="21"/>
                <w:shd w:val="clear" w:color="auto" w:fill="FFFFFF"/>
              </w:rPr>
              <w:t>投标人应注册成为开封市公共资源交易中心网站会员并取得 CA密钥，到开封市公共资源交易中心网站登录政采、工程业务系统，凭CA密钥登录会员系统，在“组件下载”中下载最新版本的投标文件制作工具安装包，并使用安装后的最新版本投标文件制作工具制作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w:t>
            </w:r>
          </w:p>
        </w:tc>
        <w:tc>
          <w:tcPr>
            <w:tcW w:w="8157" w:type="dxa"/>
            <w:gridSpan w:val="2"/>
            <w:vAlign w:val="center"/>
          </w:tcPr>
          <w:p>
            <w:pPr>
              <w:spacing w:line="380" w:lineRule="exact"/>
              <w:jc w:val="center"/>
              <w:rPr>
                <w:rFonts w:ascii="宋体" w:hAnsi="宋体" w:eastAsia="宋体" w:cs="宋体"/>
              </w:rPr>
            </w:pPr>
            <w:r>
              <w:rPr>
                <w:rFonts w:hint="eastAsia" w:ascii="宋体" w:hAnsi="宋体" w:eastAsia="宋体" w:cs="宋体"/>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10.1</w:t>
            </w:r>
          </w:p>
        </w:tc>
        <w:tc>
          <w:tcPr>
            <w:tcW w:w="2237" w:type="dxa"/>
            <w:vAlign w:val="center"/>
          </w:tcPr>
          <w:p>
            <w:pPr>
              <w:spacing w:line="396" w:lineRule="exact"/>
              <w:jc w:val="center"/>
              <w:rPr>
                <w:rFonts w:ascii="宋体" w:hAnsi="宋体" w:eastAsia="宋体" w:cs="宋体"/>
                <w:spacing w:val="1"/>
                <w:kern w:val="0"/>
                <w:szCs w:val="21"/>
              </w:rPr>
            </w:pPr>
            <w:r>
              <w:rPr>
                <w:rFonts w:hint="eastAsia" w:ascii="宋体" w:hAnsi="宋体" w:eastAsia="宋体" w:cs="宋体"/>
              </w:rPr>
              <w:t>质疑与异议</w:t>
            </w:r>
          </w:p>
        </w:tc>
        <w:tc>
          <w:tcPr>
            <w:tcW w:w="5920" w:type="dxa"/>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质疑或异议： </w:t>
            </w:r>
          </w:p>
          <w:p>
            <w:pPr>
              <w:spacing w:line="396" w:lineRule="exact"/>
              <w:rPr>
                <w:rFonts w:ascii="宋体" w:hAnsi="宋体" w:eastAsia="宋体" w:cs="宋体"/>
                <w:szCs w:val="21"/>
              </w:rPr>
            </w:pPr>
            <w:r>
              <w:rPr>
                <w:rFonts w:hint="eastAsia" w:ascii="宋体" w:hAnsi="宋体" w:eastAsia="宋体" w:cs="宋体"/>
                <w:color w:val="000000"/>
                <w:kern w:val="0"/>
                <w:szCs w:val="21"/>
              </w:rPr>
              <w:t>根据开封市公共资源交易管理委员会办公室文件（汴公管办【2020】13 号）的规定：投标人(投标人) 向采购人（采购人）、招标代理机构（采购代理机构）提出质疑(异议)的方式为线上提起，并在规定时间内对投标人(投标人)的质疑函(异议书)进行回复。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10.2</w:t>
            </w:r>
          </w:p>
        </w:tc>
        <w:tc>
          <w:tcPr>
            <w:tcW w:w="2237" w:type="dxa"/>
            <w:vAlign w:val="center"/>
          </w:tcPr>
          <w:p>
            <w:pPr>
              <w:autoSpaceDE w:val="0"/>
              <w:autoSpaceDN w:val="0"/>
              <w:adjustRightInd w:val="0"/>
              <w:spacing w:line="380" w:lineRule="exact"/>
              <w:ind w:right="35"/>
              <w:jc w:val="center"/>
              <w:rPr>
                <w:rFonts w:ascii="宋体" w:hAnsi="宋体" w:eastAsia="宋体" w:cs="宋体"/>
                <w:spacing w:val="1"/>
                <w:kern w:val="0"/>
                <w:szCs w:val="21"/>
              </w:rPr>
            </w:pPr>
            <w:r>
              <w:rPr>
                <w:rFonts w:hint="eastAsia" w:ascii="宋体" w:hAnsi="宋体" w:eastAsia="宋体" w:cs="宋体"/>
                <w:szCs w:val="21"/>
              </w:rPr>
              <w:t>招标代理服务费</w:t>
            </w:r>
          </w:p>
        </w:tc>
        <w:tc>
          <w:tcPr>
            <w:tcW w:w="5920" w:type="dxa"/>
            <w:vAlign w:val="center"/>
          </w:tcPr>
          <w:p>
            <w:pPr>
              <w:autoSpaceDE w:val="0"/>
              <w:autoSpaceDN w:val="0"/>
              <w:adjustRightInd w:val="0"/>
              <w:spacing w:line="380" w:lineRule="exact"/>
              <w:ind w:right="35"/>
              <w:rPr>
                <w:rFonts w:ascii="宋体" w:hAnsi="宋体" w:eastAsia="宋体" w:cs="宋体"/>
                <w:spacing w:val="1"/>
                <w:kern w:val="0"/>
                <w:szCs w:val="21"/>
              </w:rPr>
            </w:pPr>
            <w:r>
              <w:rPr>
                <w:rFonts w:hint="eastAsia" w:ascii="宋体" w:hAnsi="宋体" w:eastAsia="宋体" w:cs="宋体"/>
                <w:bCs/>
                <w:lang w:val="zh-CN"/>
              </w:rPr>
              <w:t>招标代理报酬</w:t>
            </w:r>
            <w:r>
              <w:rPr>
                <w:rFonts w:hint="eastAsia" w:ascii="宋体" w:hAnsi="宋体" w:eastAsia="宋体" w:cs="宋体"/>
                <w:bCs/>
              </w:rPr>
              <w:t>按照入围中标人每家壹万伍仟元整（15000.00元）计取</w:t>
            </w:r>
            <w:r>
              <w:rPr>
                <w:rFonts w:hint="eastAsia" w:ascii="宋体" w:hAnsi="宋体" w:eastAsia="宋体" w:cs="宋体"/>
                <w:szCs w:val="21"/>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10.3</w:t>
            </w:r>
          </w:p>
        </w:tc>
        <w:tc>
          <w:tcPr>
            <w:tcW w:w="2237" w:type="dxa"/>
            <w:vAlign w:val="center"/>
          </w:tcPr>
          <w:p>
            <w:pPr>
              <w:autoSpaceDE w:val="0"/>
              <w:autoSpaceDN w:val="0"/>
              <w:adjustRightInd w:val="0"/>
              <w:spacing w:line="380" w:lineRule="exact"/>
              <w:ind w:right="35"/>
              <w:jc w:val="center"/>
              <w:rPr>
                <w:rFonts w:ascii="宋体" w:hAnsi="宋体" w:eastAsia="宋体" w:cs="宋体"/>
                <w:spacing w:val="1"/>
                <w:kern w:val="0"/>
                <w:szCs w:val="21"/>
              </w:rPr>
            </w:pPr>
            <w:r>
              <w:rPr>
                <w:rFonts w:hint="eastAsia" w:ascii="宋体" w:hAnsi="宋体" w:eastAsia="宋体" w:cs="宋体"/>
                <w:szCs w:val="21"/>
                <w:highlight w:val="none"/>
              </w:rPr>
              <w:t>监督单位</w:t>
            </w:r>
          </w:p>
        </w:tc>
        <w:tc>
          <w:tcPr>
            <w:tcW w:w="5920" w:type="dxa"/>
            <w:vAlign w:val="center"/>
          </w:tcPr>
          <w:p>
            <w:pPr>
              <w:widowControl/>
              <w:shd w:val="clear" w:color="auto" w:fill="FFFFFF"/>
              <w:adjustRightInd w:val="0"/>
              <w:snapToGrid w:val="0"/>
              <w:spacing w:line="360" w:lineRule="auto"/>
              <w:ind w:firstLine="420" w:firstLineChars="200"/>
              <w:jc w:val="left"/>
              <w:rPr>
                <w:rFonts w:ascii="宋体" w:hAnsi="宋体" w:eastAsia="宋体" w:cs="宋体"/>
                <w:spacing w:val="1"/>
                <w:kern w:val="0"/>
                <w:szCs w:val="21"/>
              </w:rPr>
            </w:pPr>
            <w:r>
              <w:rPr>
                <w:rFonts w:hint="eastAsia" w:ascii="宋体" w:hAnsi="宋体" w:eastAsia="宋体" w:cs="宋体"/>
                <w:kern w:val="0"/>
                <w:szCs w:val="21"/>
                <w:shd w:val="clear" w:color="auto" w:fill="FFFFFF"/>
                <w:lang w:eastAsia="zh-CN"/>
              </w:rPr>
              <w:t>开封市祥符区住房和城乡建设局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10.4</w:t>
            </w:r>
          </w:p>
        </w:tc>
        <w:tc>
          <w:tcPr>
            <w:tcW w:w="2237" w:type="dxa"/>
            <w:vAlign w:val="center"/>
          </w:tcPr>
          <w:p>
            <w:pPr>
              <w:autoSpaceDE w:val="0"/>
              <w:autoSpaceDN w:val="0"/>
              <w:adjustRightInd w:val="0"/>
              <w:spacing w:line="380" w:lineRule="exact"/>
              <w:ind w:right="35"/>
              <w:jc w:val="center"/>
              <w:rPr>
                <w:rFonts w:ascii="宋体" w:hAnsi="宋体" w:eastAsia="宋体" w:cs="宋体"/>
                <w:spacing w:val="1"/>
                <w:kern w:val="0"/>
                <w:szCs w:val="21"/>
              </w:rPr>
            </w:pPr>
            <w:r>
              <w:rPr>
                <w:rFonts w:hint="eastAsia" w:ascii="宋体" w:hAnsi="宋体" w:eastAsia="宋体" w:cs="宋体"/>
              </w:rPr>
              <w:t>解释权</w:t>
            </w:r>
          </w:p>
        </w:tc>
        <w:tc>
          <w:tcPr>
            <w:tcW w:w="5920" w:type="dxa"/>
            <w:vAlign w:val="center"/>
          </w:tcPr>
          <w:p>
            <w:pPr>
              <w:autoSpaceDE w:val="0"/>
              <w:autoSpaceDN w:val="0"/>
              <w:adjustRightInd w:val="0"/>
              <w:spacing w:line="380" w:lineRule="exact"/>
              <w:ind w:right="35"/>
              <w:rPr>
                <w:rFonts w:ascii="宋体" w:hAnsi="宋体" w:eastAsia="宋体" w:cs="宋体"/>
                <w:spacing w:val="1"/>
                <w:kern w:val="0"/>
                <w:szCs w:val="21"/>
              </w:rPr>
            </w:pPr>
            <w:r>
              <w:rPr>
                <w:rFonts w:hint="eastAsia" w:ascii="宋体" w:hAnsi="宋体" w:eastAsia="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10.5</w:t>
            </w:r>
          </w:p>
        </w:tc>
        <w:tc>
          <w:tcPr>
            <w:tcW w:w="2237" w:type="dxa"/>
            <w:vAlign w:val="center"/>
          </w:tcPr>
          <w:p>
            <w:pPr>
              <w:autoSpaceDE w:val="0"/>
              <w:autoSpaceDN w:val="0"/>
              <w:adjustRightInd w:val="0"/>
              <w:spacing w:line="380" w:lineRule="exact"/>
              <w:ind w:right="35"/>
              <w:jc w:val="center"/>
              <w:rPr>
                <w:rFonts w:ascii="宋体" w:hAnsi="宋体" w:eastAsia="宋体" w:cs="宋体"/>
                <w:spacing w:val="1"/>
                <w:kern w:val="0"/>
                <w:szCs w:val="21"/>
              </w:rPr>
            </w:pPr>
            <w:r>
              <w:rPr>
                <w:rFonts w:hint="eastAsia" w:ascii="宋体" w:hAnsi="宋体" w:eastAsia="宋体" w:cs="宋体"/>
                <w:spacing w:val="1"/>
                <w:kern w:val="0"/>
                <w:szCs w:val="21"/>
              </w:rPr>
              <w:t>同义词语</w:t>
            </w:r>
          </w:p>
        </w:tc>
        <w:tc>
          <w:tcPr>
            <w:tcW w:w="5920" w:type="dxa"/>
            <w:vAlign w:val="center"/>
          </w:tcPr>
          <w:p>
            <w:pPr>
              <w:autoSpaceDE w:val="0"/>
              <w:autoSpaceDN w:val="0"/>
              <w:adjustRightInd w:val="0"/>
              <w:spacing w:line="380" w:lineRule="exact"/>
              <w:ind w:right="35"/>
              <w:rPr>
                <w:rFonts w:ascii="宋体" w:hAnsi="宋体" w:eastAsia="宋体" w:cs="宋体"/>
                <w:spacing w:val="1"/>
                <w:kern w:val="0"/>
                <w:szCs w:val="21"/>
              </w:rPr>
            </w:pPr>
            <w:r>
              <w:rPr>
                <w:rFonts w:hint="eastAsia" w:ascii="宋体" w:hAnsi="宋体" w:eastAsia="宋体" w:cs="宋体"/>
                <w:szCs w:val="21"/>
              </w:rPr>
              <w:t>招标文件中出现的措辞理解：“招标人”与“采购人”含意相同；“申请人”与“投标人、投标供应商”含意相同；“招标代理机构”与“采购代理机构”含意相同；“招标文件”与“采购文件”、“采购文件含意相同”；“投标文件”与“响应文件”含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10.6</w:t>
            </w:r>
          </w:p>
        </w:tc>
        <w:tc>
          <w:tcPr>
            <w:tcW w:w="2237" w:type="dxa"/>
            <w:vAlign w:val="center"/>
          </w:tcPr>
          <w:p>
            <w:pPr>
              <w:autoSpaceDE w:val="0"/>
              <w:autoSpaceDN w:val="0"/>
              <w:adjustRightInd w:val="0"/>
              <w:spacing w:line="380" w:lineRule="exact"/>
              <w:ind w:right="35"/>
              <w:jc w:val="center"/>
              <w:rPr>
                <w:rFonts w:ascii="宋体" w:hAnsi="宋体" w:eastAsia="宋体" w:cs="宋体"/>
                <w:bCs/>
                <w:spacing w:val="1"/>
                <w:kern w:val="0"/>
                <w:szCs w:val="21"/>
              </w:rPr>
            </w:pPr>
            <w:r>
              <w:rPr>
                <w:rFonts w:hint="eastAsia" w:ascii="宋体" w:hAnsi="宋体" w:eastAsia="宋体" w:cs="宋体"/>
                <w:bCs/>
              </w:rPr>
              <w:t>其他承诺</w:t>
            </w:r>
          </w:p>
        </w:tc>
        <w:tc>
          <w:tcPr>
            <w:tcW w:w="5920" w:type="dxa"/>
            <w:vAlign w:val="center"/>
          </w:tcPr>
          <w:p>
            <w:pPr>
              <w:autoSpaceDE w:val="0"/>
              <w:autoSpaceDN w:val="0"/>
              <w:adjustRightInd w:val="0"/>
              <w:spacing w:line="380" w:lineRule="exact"/>
              <w:ind w:right="35"/>
              <w:rPr>
                <w:rFonts w:ascii="宋体" w:hAnsi="宋体" w:eastAsia="宋体" w:cs="宋体"/>
                <w:bCs/>
                <w:spacing w:val="1"/>
                <w:kern w:val="0"/>
                <w:szCs w:val="21"/>
              </w:rPr>
            </w:pPr>
            <w:r>
              <w:rPr>
                <w:rFonts w:hint="eastAsia" w:ascii="宋体" w:hAnsi="宋体" w:eastAsia="宋体" w:cs="宋体"/>
                <w:bCs/>
              </w:rPr>
              <w:t>投标人承诺独立制作、修改和上传投标文件，并承担因“硬件特征码一致”所造成的不良后果。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65" w:type="dxa"/>
            <w:vAlign w:val="center"/>
          </w:tcPr>
          <w:p>
            <w:pPr>
              <w:spacing w:line="380" w:lineRule="exact"/>
              <w:jc w:val="center"/>
              <w:rPr>
                <w:rFonts w:ascii="宋体" w:hAnsi="宋体" w:eastAsia="宋体" w:cs="宋体"/>
              </w:rPr>
            </w:pPr>
            <w:r>
              <w:rPr>
                <w:rFonts w:hint="eastAsia" w:ascii="宋体" w:hAnsi="宋体" w:eastAsia="宋体" w:cs="宋体"/>
              </w:rPr>
              <w:t>10.7</w:t>
            </w:r>
          </w:p>
        </w:tc>
        <w:tc>
          <w:tcPr>
            <w:tcW w:w="8157" w:type="dxa"/>
            <w:gridSpan w:val="2"/>
            <w:vAlign w:val="center"/>
          </w:tcPr>
          <w:p>
            <w:pPr>
              <w:adjustRightInd w:val="0"/>
              <w:snapToGrid w:val="0"/>
              <w:spacing w:line="360" w:lineRule="exact"/>
              <w:rPr>
                <w:rFonts w:ascii="宋体" w:hAnsi="宋体" w:eastAsia="宋体" w:cs="宋体"/>
                <w:bCs/>
                <w:szCs w:val="20"/>
              </w:rPr>
            </w:pPr>
            <w:r>
              <w:rPr>
                <w:rFonts w:hint="eastAsia" w:ascii="宋体" w:hAnsi="宋体" w:eastAsia="宋体" w:cs="宋体"/>
                <w:bCs/>
                <w:szCs w:val="20"/>
              </w:rPr>
              <w:t>1.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pPr>
              <w:adjustRightInd w:val="0"/>
              <w:snapToGrid w:val="0"/>
              <w:spacing w:line="360" w:lineRule="exact"/>
              <w:rPr>
                <w:rFonts w:ascii="宋体" w:hAnsi="宋体" w:eastAsia="宋体" w:cs="宋体"/>
                <w:bCs/>
                <w:szCs w:val="20"/>
              </w:rPr>
            </w:pPr>
            <w:r>
              <w:rPr>
                <w:rFonts w:hint="eastAsia" w:ascii="宋体" w:hAnsi="宋体" w:eastAsia="宋体" w:cs="宋体"/>
                <w:bCs/>
                <w:szCs w:val="20"/>
              </w:rPr>
              <w:t>其他未尽事宜，按国家相关法律法规执行。</w:t>
            </w:r>
          </w:p>
          <w:p>
            <w:pPr>
              <w:autoSpaceDE w:val="0"/>
              <w:autoSpaceDN w:val="0"/>
              <w:adjustRightInd w:val="0"/>
              <w:spacing w:line="360" w:lineRule="exact"/>
              <w:ind w:right="34"/>
              <w:rPr>
                <w:rFonts w:ascii="宋体" w:hAnsi="宋体" w:eastAsia="宋体" w:cs="宋体"/>
                <w:spacing w:val="1"/>
                <w:kern w:val="0"/>
                <w:szCs w:val="21"/>
              </w:rPr>
            </w:pPr>
            <w:r>
              <w:rPr>
                <w:rFonts w:hint="eastAsia" w:ascii="宋体" w:hAnsi="宋体" w:eastAsia="宋体" w:cs="宋体"/>
                <w:bCs/>
                <w:szCs w:val="20"/>
              </w:rPr>
              <w:t>2. 本项目采用“远程不见面”开标方式，投标人无需到达现场提交原件资料、无需到开封市</w:t>
            </w:r>
            <w:r>
              <w:rPr>
                <w:rFonts w:hint="eastAsia" w:ascii="宋体" w:hAnsi="宋体" w:eastAsia="宋体" w:cs="宋体"/>
                <w:bCs/>
                <w:szCs w:val="20"/>
                <w:lang w:val="en-US" w:eastAsia="zh-CN"/>
              </w:rPr>
              <w:t>祥符区</w:t>
            </w:r>
            <w:r>
              <w:rPr>
                <w:rFonts w:hint="eastAsia" w:ascii="宋体" w:hAnsi="宋体" w:eastAsia="宋体" w:cs="宋体"/>
                <w:bCs/>
                <w:szCs w:val="20"/>
              </w:rPr>
              <w:t>公共资源交易中心现场参加开标会议；投标人应当在开标时间前,登录不见面开标大厅,在线准时参加开标活动并进行投标文件解密、答疑澄清等（系统解密时长默认为40分钟，错过解密时长者视为自动放弃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322" w:type="dxa"/>
            <w:gridSpan w:val="3"/>
            <w:vAlign w:val="center"/>
          </w:tcPr>
          <w:p>
            <w:pPr>
              <w:spacing w:line="360" w:lineRule="auto"/>
              <w:rPr>
                <w:rFonts w:ascii="宋体" w:hAnsi="宋体" w:eastAsia="宋体" w:cs="宋体"/>
                <w:b/>
              </w:rPr>
            </w:pPr>
            <w:r>
              <w:rPr>
                <w:rFonts w:hint="eastAsia" w:ascii="宋体" w:hAnsi="宋体" w:eastAsia="宋体" w:cs="宋体"/>
                <w:b/>
              </w:rPr>
              <w:t>注：1、投标人应对投标文件中提供业绩及有所内容真实性负责， 若有不实将视为弄虚作假、恶意投标，招标人有权取消投标人的投标/中标资格。</w:t>
            </w:r>
          </w:p>
          <w:p>
            <w:pPr>
              <w:spacing w:line="360" w:lineRule="auto"/>
              <w:ind w:firstLine="422" w:firstLineChars="200"/>
              <w:rPr>
                <w:rFonts w:ascii="宋体" w:hAnsi="宋体" w:eastAsia="宋体" w:cs="宋体"/>
                <w:b/>
              </w:rPr>
            </w:pPr>
            <w:r>
              <w:rPr>
                <w:rFonts w:hint="eastAsia" w:ascii="宋体" w:hAnsi="宋体" w:eastAsia="宋体" w:cs="宋体"/>
                <w:b/>
              </w:rPr>
              <w:t>2、当投标人须知前附表与投标人须知正文内容不一致时，以投标人须知前附表为准。</w:t>
            </w:r>
          </w:p>
          <w:p>
            <w:pPr>
              <w:spacing w:line="360" w:lineRule="auto"/>
              <w:ind w:firstLine="422" w:firstLineChars="200"/>
              <w:rPr>
                <w:rFonts w:ascii="宋体" w:hAnsi="宋体" w:eastAsia="宋体" w:cs="宋体"/>
                <w:szCs w:val="21"/>
              </w:rPr>
            </w:pPr>
            <w:r>
              <w:rPr>
                <w:rFonts w:hint="eastAsia" w:ascii="宋体" w:hAnsi="宋体" w:eastAsia="宋体" w:cs="宋体"/>
                <w:b/>
              </w:rPr>
              <w:t>3、本招标文件的解释权归招标人。</w:t>
            </w:r>
          </w:p>
        </w:tc>
      </w:tr>
    </w:tbl>
    <w:p>
      <w:pPr>
        <w:adjustRightInd w:val="0"/>
        <w:snapToGrid w:val="0"/>
        <w:spacing w:line="384" w:lineRule="exact"/>
        <w:outlineLvl w:val="2"/>
        <w:rPr>
          <w:rFonts w:ascii="宋体" w:hAnsi="宋体" w:eastAsia="宋体" w:cs="宋体"/>
          <w:b/>
          <w:szCs w:val="21"/>
        </w:rPr>
      </w:pPr>
      <w:bookmarkStart w:id="64" w:name="_Toc31433"/>
      <w:bookmarkStart w:id="65" w:name="_Toc88158576"/>
      <w:bookmarkStart w:id="66" w:name="_Toc10950"/>
      <w:bookmarkStart w:id="67" w:name="_Toc22679"/>
      <w:bookmarkStart w:id="68" w:name="_Toc12050"/>
      <w:bookmarkStart w:id="69" w:name="_Toc25603"/>
      <w:r>
        <w:rPr>
          <w:rFonts w:hint="eastAsia" w:ascii="宋体" w:hAnsi="宋体" w:eastAsia="宋体" w:cs="宋体"/>
          <w:b/>
          <w:szCs w:val="21"/>
        </w:rPr>
        <w:t>1．总则</w:t>
      </w:r>
      <w:bookmarkEnd w:id="64"/>
      <w:bookmarkEnd w:id="65"/>
      <w:bookmarkEnd w:id="66"/>
      <w:bookmarkEnd w:id="67"/>
      <w:bookmarkEnd w:id="68"/>
      <w:bookmarkEnd w:id="69"/>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1.1 项目概况</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1.1.1 根据《中华人民共和国招标投标法》、《中华人民共和国政府采购法》等有关法律、法规和规章的规定，己具备招标条件，现对本项目进行招标。</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1.1.2招标人：见投标人须知前附表。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1.1.3招标代理机构：见投标人须知前附表。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1.1.4 招标项目名称：见投标人须知前附表。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1.1.5 项目服务地点：见投标人须知前附表。</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1.2 资金来源和落实情况</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1.2.1资金来源及比例：见投标人须知前附表。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1.2.2资金落实情况：见投标人须知前附表。</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1.3 招标范围、服务期限和质量标准</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1.3.1 招标范围：见投标人须知前附表。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1.3.2服务期限：见投标人须知前附表。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1.3.3 质量标准：详见投标人须知前附表。</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1.4投标人资格要求</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1.4.1 投标人应具备承担本项目的资质条件。</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(l）资质要求：见投标人须知前附表；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(2）财务要求：见投标人须知前附表；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(3）业绩要求：见投标人须知前附表。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(4）信誉要求：见投标人须知前附表。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(5）项目负责人资格要求：见投标人须知前附表。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(6）其他主要人员要求：见投标人须知前附表。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(7）其他要求：见投标人须知前附表。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需要提交的相关证明材料见本章第3.5款规定。</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1.4.2 投标人须知前附表规定接受联合体投标的，联合体除应符合本章第 1.4.1 项和投标人须知前附表的要求外，还应遵守以下规定：</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（1）联合体各方应按招标文件提供的格式签订联合体协议书，明确联合体牵头人和各方权利义务，并承诺就中标项目向招标人承担连带责任；</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（2）由同一专业的单位组成的联合体，按照资质等级较低的单位确定资质等级；</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（3）联合体各方不得再以自己名义单独或参加其他联合体在本招标项目中投标，否则各相关投标均无效</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1.4.3 投标人不得存在下列情形之一：</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（1）为招标人不具有独立法人资格的附属机构（单位）；</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（2）与招标人存在利害关系且可能影响招标公正性；</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（3）与本招标项目的其他投标人为同一个单位负责人；</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（4）与本招标项目的其他投标人存在控股、管理关系；</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（5）为本招标项目的代建人；</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（6）为本招标项目的招标代理机构；</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（7）与本招标项目的代建人或招标代理机构同为一个法定代表人；</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（8）与本招标项目的代建人或招标代理机构存在控股或参股关系；</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（9）与本招标项目施工承包人以及建筑材料、建筑构配件和设备供应商有隶属关系或者其他利害关系；</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（10）被依法暂停或者取消投标资格；</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（11）被责令停产停业、暂扣或者吊销许可证、暂扣或者吊销执照；</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（12）进入清算程序，或被宣告破产，或其他丧失履约能力的情形；</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（13）在最近三年内发生重大质量问题（以相关行业主管部门的行政处罚决定或司法机关出具的有关法律文书为准）；</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（14）被工商行政管理机关在全国企业信用信息公示系统中列入严重违法失信企业名单；</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（15）被最高人民法院在“信用中国”网站（www.creditchina.gov.cn）或各级信用信息共享平台中列入失信被执行人名单；</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（16）在近三年内投标人或其法定代表人、拟委任的项目负责人有行贿罪行为的；</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（17）法律法规或投标人须知前附表规定的其他情形。</w:t>
      </w:r>
    </w:p>
    <w:p>
      <w:pPr>
        <w:adjustRightInd w:val="0"/>
        <w:snapToGrid w:val="0"/>
        <w:spacing w:line="384" w:lineRule="exact"/>
        <w:rPr>
          <w:rFonts w:ascii="宋体" w:hAnsi="宋体" w:eastAsia="宋体" w:cs="宋体"/>
          <w:b/>
          <w:szCs w:val="21"/>
        </w:rPr>
      </w:pPr>
      <w:bookmarkStart w:id="70" w:name="_Toc334881510"/>
      <w:bookmarkStart w:id="71" w:name="_Toc15732"/>
      <w:r>
        <w:rPr>
          <w:rFonts w:hint="eastAsia" w:ascii="宋体" w:hAnsi="宋体" w:eastAsia="宋体" w:cs="宋体"/>
          <w:b/>
          <w:szCs w:val="21"/>
        </w:rPr>
        <w:t>1.5 费用承担</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 xml:space="preserve">投标人准备和参加投标活动发生的费用自理。 </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1.6 保密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 xml:space="preserve">参与招标投标活动的各方应对招标文件和投标文件中的商业和技术等秘密保密，否则应承担相应的法律责任。 </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1.7 语言文字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招标投标文件使用的语言文字为中文。专用术语使用外文的，应附有中文注释。</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1.8 计量单位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 xml:space="preserve">所有计量均采用中华人民共和国法定计量单位。 </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1.9 踏勘现场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1.9.1 投标人须知前附表规定组织踏勘现场的，招标人按投标人须知前附表规定的时间、地点组织投标人踏勘项目现场。部分投标人未按时参加踏勘现场的，不影响踏勘现场的正常进行。</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1.9.2 投标人踏勘现场发生的费用自理。</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1.9.3 除招标人的原因外，投标人自行负责在踏勘现场中所发生的人员伤亡和财产损失。</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1.9.4 招标人在踏勘现场中介绍的工程场地和相关的周边环境情况，供投标人在编制投标文</w:t>
      </w:r>
    </w:p>
    <w:p>
      <w:pPr>
        <w:adjustRightInd w:val="0"/>
        <w:snapToGrid w:val="0"/>
        <w:spacing w:line="384" w:lineRule="exact"/>
        <w:rPr>
          <w:rFonts w:ascii="宋体" w:hAnsi="宋体" w:eastAsia="宋体" w:cs="宋体"/>
          <w:szCs w:val="21"/>
        </w:rPr>
      </w:pPr>
      <w:r>
        <w:rPr>
          <w:rFonts w:hint="eastAsia" w:ascii="宋体" w:hAnsi="宋体" w:eastAsia="宋体" w:cs="宋体"/>
          <w:szCs w:val="21"/>
        </w:rPr>
        <w:t>件时参考，招标人不对投标人据此作出的判断和决策负责。</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1.10 投标预备会</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1.10.1 投标人须知前附表规定召开投标预备会的，招标人按投标人须知前附表规定的时间和地点召开投标预备会，澄清投标人提出的问题。</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1.10.2 投标人应按投标人须知前附表规定的时间和形式将提出的问题送达招标人，以便招标人在会议期间澄清。</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1.10.3 投标预备会后，招标人将对投标人所提问题的澄清，以投标人须知前附表规定的形式通知所有购买招标文件的投标人。该澄清内容为招标文件的组成部分。</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1.11分包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 xml:space="preserve">本项目严禁分包。 </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1.12响应和偏差</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1.12.1 投标文件应当对招标文件的实质性要求和条件作出满足性或更有利于招标人的响应，否则，投标人的投标将被否决。实质性要求和条件见投标人须知前附表。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1.12.2 投标人应根据招标文件的要求提供服务内容等内容以对招标文件作出响应。</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1.12.3 投标人须知前附表允许投标文件偏离招标文件某些要求的，偏差应当符合招标文件规定的偏差范围和幅度。</w:t>
      </w:r>
    </w:p>
    <w:p>
      <w:pPr>
        <w:adjustRightInd w:val="0"/>
        <w:snapToGrid w:val="0"/>
        <w:spacing w:line="384" w:lineRule="exact"/>
        <w:outlineLvl w:val="2"/>
        <w:rPr>
          <w:rFonts w:ascii="宋体" w:hAnsi="宋体" w:eastAsia="宋体" w:cs="宋体"/>
          <w:b/>
          <w:szCs w:val="21"/>
        </w:rPr>
      </w:pPr>
      <w:bookmarkStart w:id="72" w:name="_Toc24255"/>
      <w:bookmarkStart w:id="73" w:name="_Toc88158577"/>
      <w:bookmarkStart w:id="74" w:name="_Toc532137426"/>
      <w:bookmarkStart w:id="75" w:name="_Toc28177"/>
      <w:bookmarkStart w:id="76" w:name="_Toc13596"/>
      <w:bookmarkStart w:id="77" w:name="_Toc1981978"/>
      <w:bookmarkStart w:id="78" w:name="_Toc15624"/>
      <w:bookmarkStart w:id="79" w:name="_Toc4409"/>
      <w:r>
        <w:rPr>
          <w:rFonts w:hint="eastAsia" w:ascii="宋体" w:hAnsi="宋体" w:eastAsia="宋体" w:cs="宋体"/>
          <w:b/>
          <w:szCs w:val="21"/>
        </w:rPr>
        <w:t>2．招标文件</w:t>
      </w:r>
      <w:bookmarkEnd w:id="70"/>
      <w:bookmarkEnd w:id="71"/>
      <w:bookmarkEnd w:id="72"/>
      <w:bookmarkEnd w:id="73"/>
      <w:bookmarkEnd w:id="74"/>
      <w:bookmarkEnd w:id="75"/>
      <w:bookmarkEnd w:id="76"/>
      <w:bookmarkEnd w:id="77"/>
      <w:bookmarkEnd w:id="78"/>
      <w:bookmarkEnd w:id="79"/>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2.1 招标文件的组成</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本招标文件包括：</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 xml:space="preserve">(1）招标公告；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(2）投标人须知；</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(3）评标办法；</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(4）合同条款及格式；</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(5）委托人要求；</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(6）投标文件格式；</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根据本章第1.10 款、第2.2 款和第2.3 款对招标文件所作的澄清、修改，构成招标文件的组成部分。</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2.2 招标文件的澄清</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2.2.3 投标人在收到澄清后，应按投标人须知前附表规定的时间和形式通知招标人，确认已收到该澄清。</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2.2.4 除非招标人认为确有必要答复，否则，招标人有权拒绝回复投标人在本章第 2.2.1 项规定的时间后的任何澄清要求。</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2.3 招标文件的修改</w:t>
      </w:r>
    </w:p>
    <w:p>
      <w:pPr>
        <w:adjustRightInd w:val="0"/>
        <w:snapToGrid w:val="0"/>
        <w:spacing w:line="384" w:lineRule="exact"/>
        <w:ind w:firstLine="420" w:firstLineChars="200"/>
        <w:rPr>
          <w:rFonts w:ascii="宋体" w:hAnsi="宋体" w:eastAsia="宋体" w:cs="宋体"/>
          <w:szCs w:val="21"/>
        </w:rPr>
      </w:pPr>
      <w:bookmarkStart w:id="80" w:name="_Toc334881511"/>
      <w:bookmarkStart w:id="81" w:name="_Toc19080"/>
      <w:r>
        <w:rPr>
          <w:rFonts w:hint="eastAsia" w:ascii="宋体" w:hAnsi="宋体" w:eastAsia="宋体" w:cs="宋体"/>
          <w:szCs w:val="21"/>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2.3.2 投标人收到修改内容后，应按投标人须知前附表规定的时间和形式通知招标人，确认已收到该修改。</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2.4 招标文件的异议</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投标人或者其他利害关系人对招标文件有异议的，应当在投标截止时间 10 日前以书面形式提出。招标人将在收到异议之日起 3 日内作出答复；作出答复前，将暂停招标投标活动。</w:t>
      </w:r>
    </w:p>
    <w:p>
      <w:pPr>
        <w:adjustRightInd w:val="0"/>
        <w:snapToGrid w:val="0"/>
        <w:spacing w:line="384" w:lineRule="exact"/>
        <w:outlineLvl w:val="2"/>
        <w:rPr>
          <w:rFonts w:ascii="宋体" w:hAnsi="宋体" w:eastAsia="宋体" w:cs="宋体"/>
          <w:b/>
          <w:szCs w:val="21"/>
        </w:rPr>
      </w:pPr>
      <w:bookmarkStart w:id="82" w:name="_Toc1339"/>
      <w:bookmarkStart w:id="83" w:name="_Toc1981979"/>
      <w:bookmarkStart w:id="84" w:name="_Toc88158578"/>
      <w:bookmarkStart w:id="85" w:name="_Toc27950"/>
      <w:bookmarkStart w:id="86" w:name="_Toc17406"/>
      <w:bookmarkStart w:id="87" w:name="_Toc532137427"/>
      <w:bookmarkStart w:id="88" w:name="_Toc26442"/>
      <w:bookmarkStart w:id="89" w:name="_Toc29910"/>
      <w:r>
        <w:rPr>
          <w:rFonts w:hint="eastAsia" w:ascii="宋体" w:hAnsi="宋体" w:eastAsia="宋体" w:cs="宋体"/>
          <w:b/>
          <w:szCs w:val="21"/>
        </w:rPr>
        <w:t>3．投标文件</w:t>
      </w:r>
      <w:bookmarkEnd w:id="80"/>
      <w:bookmarkEnd w:id="81"/>
      <w:bookmarkEnd w:id="82"/>
      <w:bookmarkEnd w:id="83"/>
      <w:bookmarkEnd w:id="84"/>
      <w:bookmarkEnd w:id="85"/>
      <w:bookmarkEnd w:id="86"/>
      <w:bookmarkEnd w:id="87"/>
      <w:bookmarkEnd w:id="88"/>
      <w:bookmarkEnd w:id="89"/>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3.1 投标文件的组成</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3.1.1 投标文件应包括下列内容：</w:t>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"_Toc29900" </w:instrText>
      </w:r>
      <w:r>
        <w:fldChar w:fldCharType="separate"/>
      </w:r>
      <w:r>
        <w:rPr>
          <w:rFonts w:hint="eastAsia" w:ascii="宋体" w:hAnsi="宋体" w:eastAsia="宋体" w:cs="宋体"/>
          <w:bCs/>
          <w:szCs w:val="56"/>
        </w:rPr>
        <w:t>1、投标函及投标函附录</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"_Toc1740" </w:instrText>
      </w:r>
      <w:r>
        <w:fldChar w:fldCharType="separate"/>
      </w:r>
      <w:r>
        <w:rPr>
          <w:rFonts w:hint="eastAsia" w:ascii="宋体" w:hAnsi="宋体" w:eastAsia="宋体" w:cs="宋体"/>
          <w:bCs/>
          <w:szCs w:val="56"/>
        </w:rPr>
        <w:t>2、法定代表人（负责人）身份证明及授权委托书</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"_Toc10468" </w:instrText>
      </w:r>
      <w:r>
        <w:fldChar w:fldCharType="separate"/>
      </w:r>
      <w:r>
        <w:rPr>
          <w:rFonts w:hint="eastAsia" w:ascii="宋体" w:hAnsi="宋体" w:eastAsia="宋体" w:cs="宋体"/>
          <w:bCs/>
          <w:szCs w:val="56"/>
        </w:rPr>
        <w:t>3、资格审查资料</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"_Toc30198" </w:instrText>
      </w:r>
      <w:r>
        <w:fldChar w:fldCharType="separate"/>
      </w:r>
      <w:r>
        <w:rPr>
          <w:rFonts w:hint="eastAsia" w:ascii="宋体" w:hAnsi="宋体" w:eastAsia="宋体" w:cs="宋体"/>
          <w:bCs/>
          <w:szCs w:val="56"/>
        </w:rPr>
        <w:t>4、拟投入团队成员情况表</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"_Toc5468" </w:instrText>
      </w:r>
      <w:r>
        <w:fldChar w:fldCharType="separate"/>
      </w:r>
      <w:r>
        <w:rPr>
          <w:rFonts w:hint="eastAsia" w:ascii="宋体" w:hAnsi="宋体" w:eastAsia="宋体" w:cs="宋体"/>
          <w:bCs/>
          <w:szCs w:val="56"/>
        </w:rPr>
        <w:t>5、</w:t>
      </w:r>
      <w:r>
        <w:rPr>
          <w:rFonts w:hint="eastAsia" w:ascii="宋体" w:hAnsi="宋体" w:eastAsia="宋体" w:cs="宋体"/>
          <w:bCs/>
          <w:szCs w:val="56"/>
          <w:lang w:val="en-US" w:eastAsia="zh-CN"/>
        </w:rPr>
        <w:t>服务方案及措施</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"_Toc32576" </w:instrText>
      </w:r>
      <w:r>
        <w:fldChar w:fldCharType="separate"/>
      </w:r>
      <w:r>
        <w:rPr>
          <w:rFonts w:hint="eastAsia" w:ascii="宋体" w:hAnsi="宋体" w:eastAsia="宋体" w:cs="宋体"/>
          <w:bCs/>
          <w:szCs w:val="56"/>
        </w:rPr>
        <w:t>6、资金监管业绩和软件服务能力</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"_Toc19513" </w:instrText>
      </w:r>
      <w:r>
        <w:fldChar w:fldCharType="separate"/>
      </w:r>
      <w:r>
        <w:rPr>
          <w:rFonts w:hint="eastAsia" w:ascii="宋体" w:hAnsi="宋体" w:eastAsia="宋体" w:cs="宋体"/>
          <w:bCs/>
          <w:szCs w:val="56"/>
        </w:rPr>
        <w:t>7、服务承诺</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840" w:firstLineChars="400"/>
        <w:rPr>
          <w:rFonts w:ascii="宋体" w:hAnsi="宋体" w:eastAsia="宋体" w:cs="宋体"/>
          <w:bCs/>
          <w:szCs w:val="56"/>
        </w:rPr>
      </w:pPr>
      <w:r>
        <w:fldChar w:fldCharType="begin"/>
      </w:r>
      <w:r>
        <w:instrText xml:space="preserve"> HYPERLINK \l "_Toc11379" </w:instrText>
      </w:r>
      <w:r>
        <w:fldChar w:fldCharType="separate"/>
      </w:r>
      <w:r>
        <w:rPr>
          <w:rFonts w:hint="eastAsia" w:ascii="宋体" w:hAnsi="宋体" w:eastAsia="宋体" w:cs="宋体"/>
          <w:bCs/>
          <w:szCs w:val="56"/>
        </w:rPr>
        <w:t>8、其他资料</w:t>
      </w:r>
      <w:r>
        <w:rPr>
          <w:rFonts w:hint="eastAsia" w:ascii="宋体" w:hAnsi="宋体" w:eastAsia="宋体" w:cs="宋体"/>
          <w:bCs/>
          <w:szCs w:val="56"/>
        </w:rPr>
        <w:tab/>
      </w:r>
      <w:r>
        <w:rPr>
          <w:rFonts w:hint="eastAsia" w:ascii="宋体" w:hAnsi="宋体" w:eastAsia="宋体" w:cs="宋体"/>
          <w:bCs/>
          <w:szCs w:val="56"/>
        </w:rPr>
        <w:fldChar w:fldCharType="end"/>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投标人在评标过程中作出的符合法律法规和招标文件规定的澄清确认，构成投标文件的组成部分。</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3.2 投标报价</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3.2.1 投标报价应包括国家规定的增值税税金，除投标人须知前附表另有规定外，增值税税金按一般计税方法计算。</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3.2.2 投标人应充分了解该项目的总体情况以及影响投标报价的其他要素。</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3.2.3 本项目的报价方式见投标人须知前附表。投标人在投标截止时间前修改投标函中的投标报价总额。此修改须符合本章第 4.3 款的有关要求。</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3.2.4 招标人设有最高投标限价的，投标人的投标报价不得超过最高投标限价，最高投标限价在投标人须知前附表中载明。</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3.2.5 投标报价的其他要求见投标人须知前附表。</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3.3 投标有效期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3.3.1 除投标人须知前附表另有规定外，投标有效期为投标截止时间起90日历天。</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3.3.2 在投标有效期内，投标人撤销投标文件的，应承担招标文件和法律规定的责任。</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adjustRightInd w:val="0"/>
        <w:snapToGrid w:val="0"/>
        <w:spacing w:line="384" w:lineRule="exact"/>
        <w:rPr>
          <w:rFonts w:ascii="宋体" w:hAnsi="宋体" w:eastAsia="宋体" w:cs="宋体"/>
          <w:b/>
          <w:szCs w:val="21"/>
        </w:rPr>
      </w:pPr>
      <w:bookmarkStart w:id="90" w:name="_Toc300834972"/>
      <w:bookmarkStart w:id="91" w:name="_Toc247513975"/>
      <w:bookmarkStart w:id="92" w:name="_Toc152045551"/>
      <w:bookmarkStart w:id="93" w:name="_Toc247527576"/>
      <w:bookmarkStart w:id="94" w:name="_Toc144974519"/>
      <w:bookmarkStart w:id="95" w:name="_Toc152042327"/>
      <w:r>
        <w:rPr>
          <w:rFonts w:hint="eastAsia" w:ascii="宋体" w:hAnsi="宋体" w:eastAsia="宋体" w:cs="宋体"/>
          <w:b/>
          <w:szCs w:val="21"/>
        </w:rPr>
        <w:t>3.5 资格审查资料</w:t>
      </w:r>
      <w:bookmarkEnd w:id="90"/>
      <w:bookmarkEnd w:id="91"/>
      <w:bookmarkEnd w:id="92"/>
      <w:bookmarkEnd w:id="93"/>
      <w:bookmarkEnd w:id="94"/>
      <w:bookmarkEnd w:id="95"/>
    </w:p>
    <w:p>
      <w:pPr>
        <w:spacing w:line="380" w:lineRule="exact"/>
        <w:ind w:firstLine="420" w:firstLineChars="200"/>
        <w:rPr>
          <w:rFonts w:ascii="宋体" w:hAnsi="宋体" w:cs="宋体"/>
          <w:color w:val="000000"/>
        </w:rPr>
      </w:pPr>
      <w:r>
        <w:rPr>
          <w:rFonts w:hint="eastAsia" w:ascii="宋体" w:hAnsi="宋体" w:cs="宋体"/>
          <w:color w:val="000000"/>
        </w:rPr>
        <w:t>3.5.1 资格要求：见投标人须知前附表1.4.1。</w:t>
      </w:r>
    </w:p>
    <w:p>
      <w:pPr>
        <w:spacing w:line="380" w:lineRule="exact"/>
        <w:ind w:firstLine="420" w:firstLineChars="200"/>
        <w:rPr>
          <w:rFonts w:ascii="宋体" w:hAnsi="宋体" w:cs="宋体"/>
          <w:color w:val="000000"/>
        </w:rPr>
      </w:pPr>
      <w:r>
        <w:rPr>
          <w:rFonts w:hint="eastAsia" w:ascii="宋体" w:hAnsi="宋体" w:cs="宋体"/>
          <w:color w:val="000000"/>
        </w:rPr>
        <w:t>投标人须知前附表中要求的投标人审查材料应将扫描件附到投标文件中。</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3.6 备选投标方案</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3.6.1 除投标人须知前附表规定允许外，投标人不得递交备选投标方案，否则其投标将被否决。</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3.7 投标文件的编制</w:t>
      </w:r>
    </w:p>
    <w:p>
      <w:pPr>
        <w:adjustRightInd w:val="0"/>
        <w:snapToGrid w:val="0"/>
        <w:spacing w:line="384" w:lineRule="exact"/>
        <w:ind w:firstLine="420" w:firstLineChars="200"/>
        <w:rPr>
          <w:rFonts w:ascii="宋体" w:hAnsi="宋体" w:eastAsia="宋体" w:cs="宋体"/>
          <w:szCs w:val="21"/>
        </w:rPr>
      </w:pPr>
      <w:bookmarkStart w:id="96" w:name="_Toc29393"/>
      <w:bookmarkStart w:id="97" w:name="_Toc334881512"/>
      <w:r>
        <w:rPr>
          <w:rFonts w:hint="eastAsia" w:ascii="宋体" w:hAnsi="宋体" w:eastAsia="宋体" w:cs="宋体"/>
          <w:szCs w:val="21"/>
        </w:rPr>
        <w:t>3.7.1 投标文件应按“投标文件格式”进行编写，如有必要，可以增加附页，作为投标文件的组成部分。其中，投标函附录在满足招标文件实质性要求的基础上，可以提出比招标文件要求更有利于招标人的承诺。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3.7.2 投标文件应当对招标文件有关服务期限、投标有效期、委托人要求、招标范围等实质性内容作出响应。</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3.7.3投标文件全部采用电子文档，除投标人须知前附表另有规定外，投标文件所附证书证件均为原件扫描件，并采用单位和个人数字证书，按招标文件要求在相应位置加盖电子签章。由投标人的法定代表人签字或加盖电子签章的，应附法定代表人身份证明，由代理人签字或加盖电子签章的，应附由法定代表人签署的授权委托书。签字或盖章的具体要求见投标人须知前附表。</w:t>
      </w:r>
    </w:p>
    <w:bookmarkEnd w:id="96"/>
    <w:bookmarkEnd w:id="97"/>
    <w:p>
      <w:pPr>
        <w:adjustRightInd w:val="0"/>
        <w:snapToGrid w:val="0"/>
        <w:spacing w:line="384" w:lineRule="exact"/>
        <w:rPr>
          <w:rFonts w:ascii="宋体" w:hAnsi="宋体" w:eastAsia="宋体" w:cs="宋体"/>
          <w:b/>
          <w:szCs w:val="21"/>
        </w:rPr>
      </w:pPr>
      <w:bookmarkStart w:id="98" w:name="_Toc334881513"/>
      <w:bookmarkStart w:id="99" w:name="_Toc17749"/>
      <w:r>
        <w:rPr>
          <w:rFonts w:hint="eastAsia" w:ascii="宋体" w:hAnsi="宋体" w:eastAsia="宋体" w:cs="宋体"/>
          <w:b/>
          <w:szCs w:val="21"/>
        </w:rPr>
        <w:t>4. 投标</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4.1 投标文件的密封和标记 </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4.1.1投标人应当按照招标文件和电子招标投标交易平台的要求加密投标文件，具体要求见投标人须知前附表。</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4.2 投标文件的递交</w:t>
      </w:r>
    </w:p>
    <w:p>
      <w:pPr>
        <w:pStyle w:val="11"/>
        <w:spacing w:before="110"/>
        <w:ind w:left="520" w:right="113"/>
        <w:rPr>
          <w:rFonts w:ascii="宋体" w:hAnsi="宋体" w:eastAsia="宋体" w:cs="宋体"/>
          <w:szCs w:val="21"/>
        </w:rPr>
      </w:pPr>
      <w:r>
        <w:rPr>
          <w:rFonts w:hint="eastAsia" w:ascii="宋体" w:hAnsi="宋体" w:eastAsia="宋体" w:cs="宋体"/>
          <w:szCs w:val="21"/>
        </w:rPr>
        <w:t xml:space="preserve">4.2.1 投标人应在规定的投标截止时间前递交投标文件。 </w:t>
      </w:r>
    </w:p>
    <w:p>
      <w:pPr>
        <w:pStyle w:val="11"/>
        <w:spacing w:before="110"/>
        <w:ind w:left="520" w:right="113"/>
        <w:rPr>
          <w:rFonts w:ascii="宋体" w:hAnsi="宋体" w:eastAsia="宋体" w:cs="宋体"/>
          <w:szCs w:val="21"/>
        </w:rPr>
      </w:pPr>
      <w:r>
        <w:rPr>
          <w:rFonts w:hint="eastAsia" w:ascii="宋体" w:hAnsi="宋体" w:eastAsia="宋体" w:cs="宋体"/>
          <w:szCs w:val="21"/>
        </w:rPr>
        <w:t xml:space="preserve">4.2.2 投标人递交投标文件的地点：见投标人须知前附表。 </w:t>
      </w:r>
    </w:p>
    <w:p>
      <w:pPr>
        <w:pStyle w:val="11"/>
        <w:spacing w:before="110"/>
        <w:ind w:left="520" w:right="113"/>
        <w:rPr>
          <w:rFonts w:ascii="宋体" w:hAnsi="宋体" w:eastAsia="宋体" w:cs="宋体"/>
          <w:szCs w:val="21"/>
        </w:rPr>
      </w:pPr>
      <w:r>
        <w:rPr>
          <w:rFonts w:hint="eastAsia" w:ascii="宋体" w:hAnsi="宋体" w:eastAsia="宋体" w:cs="宋体"/>
          <w:szCs w:val="21"/>
        </w:rPr>
        <w:t xml:space="preserve">4.2.3 除投标人须知前附表另有规定外，投标人所递交的投标文件不予退还。 </w:t>
      </w:r>
    </w:p>
    <w:p>
      <w:pPr>
        <w:pStyle w:val="11"/>
        <w:spacing w:before="110"/>
        <w:ind w:right="113" w:firstLine="525" w:firstLineChars="250"/>
        <w:rPr>
          <w:rFonts w:ascii="宋体" w:hAnsi="宋体" w:eastAsia="宋体" w:cs="宋体"/>
          <w:kern w:val="1"/>
          <w:szCs w:val="21"/>
        </w:rPr>
      </w:pPr>
      <w:r>
        <w:rPr>
          <w:rFonts w:hint="eastAsia" w:ascii="宋体" w:hAnsi="宋体" w:eastAsia="宋体" w:cs="宋体"/>
          <w:szCs w:val="21"/>
        </w:rPr>
        <w:t>4.2.4 加密电子投标文件逾期上传或者未上传指定地点的，招标人不予受理。</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4.3 投标文件的修改与撤回</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4.3.1 在本章第 4.2.1 项规定的投标截止时间前，投标人可以修改或撤回已递交的投标文件，但应以书面形式通知招标人。</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4.3.2投标人修改或撤回已递交投标文件的书面通知应按照本章第3.7.3 项的要求签字或盖章。招标人收到书面通知后，向投标人出具签收凭证。</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4.3.3修改的内容为投标文件的组成部分。修改的投标文件应按照本章第 3 条、第 4 条的规定进行编制、密封、标记和递交，并标明“修改”字样。</w:t>
      </w:r>
    </w:p>
    <w:p>
      <w:pPr>
        <w:adjustRightInd w:val="0"/>
        <w:snapToGrid w:val="0"/>
        <w:spacing w:line="384" w:lineRule="exact"/>
        <w:outlineLvl w:val="2"/>
        <w:rPr>
          <w:rFonts w:ascii="宋体" w:hAnsi="宋体" w:eastAsia="宋体" w:cs="宋体"/>
          <w:szCs w:val="21"/>
        </w:rPr>
      </w:pPr>
      <w:bookmarkStart w:id="100" w:name="_Toc532137428"/>
      <w:bookmarkStart w:id="101" w:name="_Toc9338"/>
      <w:bookmarkStart w:id="102" w:name="_Toc29422"/>
      <w:bookmarkStart w:id="103" w:name="_Toc11341"/>
      <w:bookmarkStart w:id="104" w:name="_Toc88158579"/>
      <w:bookmarkStart w:id="105" w:name="_Toc1981980"/>
      <w:bookmarkStart w:id="106" w:name="_Toc2181"/>
      <w:bookmarkStart w:id="107" w:name="_Toc18086"/>
      <w:r>
        <w:rPr>
          <w:rFonts w:hint="eastAsia" w:ascii="宋体" w:hAnsi="宋体" w:eastAsia="宋体" w:cs="宋体"/>
          <w:b/>
          <w:szCs w:val="21"/>
        </w:rPr>
        <w:t>5．开标</w:t>
      </w:r>
      <w:bookmarkEnd w:id="98"/>
      <w:bookmarkEnd w:id="99"/>
      <w:bookmarkEnd w:id="100"/>
      <w:bookmarkEnd w:id="101"/>
      <w:bookmarkEnd w:id="102"/>
      <w:bookmarkEnd w:id="103"/>
      <w:bookmarkEnd w:id="104"/>
      <w:bookmarkEnd w:id="105"/>
      <w:bookmarkEnd w:id="106"/>
      <w:bookmarkEnd w:id="107"/>
    </w:p>
    <w:p>
      <w:pPr>
        <w:adjustRightInd w:val="0"/>
        <w:snapToGrid w:val="0"/>
        <w:spacing w:line="384" w:lineRule="exact"/>
        <w:rPr>
          <w:rFonts w:ascii="宋体" w:hAnsi="宋体" w:eastAsia="宋体" w:cs="宋体"/>
          <w:szCs w:val="21"/>
        </w:rPr>
      </w:pPr>
      <w:bookmarkStart w:id="108" w:name="_Toc32220"/>
      <w:bookmarkStart w:id="109" w:name="_Toc334881514"/>
      <w:r>
        <w:rPr>
          <w:rFonts w:hint="eastAsia" w:ascii="宋体" w:hAnsi="宋体" w:eastAsia="宋体" w:cs="宋体"/>
          <w:b/>
          <w:szCs w:val="21"/>
        </w:rPr>
        <w:t>5.1 开标时间和地点</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招标人在投标人须知前附表规定的投标截止时间（开标时间）和地点远程开标。</w:t>
      </w:r>
    </w:p>
    <w:p>
      <w:pPr>
        <w:adjustRightInd w:val="0"/>
        <w:snapToGrid w:val="0"/>
        <w:spacing w:line="380" w:lineRule="exact"/>
        <w:rPr>
          <w:rFonts w:ascii="宋体" w:hAnsi="宋体" w:eastAsia="宋体" w:cs="宋体"/>
          <w:b/>
          <w:szCs w:val="21"/>
        </w:rPr>
      </w:pPr>
      <w:r>
        <w:rPr>
          <w:rFonts w:hint="eastAsia" w:ascii="宋体" w:hAnsi="宋体" w:eastAsia="宋体" w:cs="宋体"/>
          <w:b/>
          <w:szCs w:val="21"/>
        </w:rPr>
        <w:t>5.2 开标程序</w:t>
      </w:r>
    </w:p>
    <w:p>
      <w:pPr>
        <w:adjustRightInd w:val="0"/>
        <w:snapToGrid w:val="0"/>
        <w:spacing w:line="380" w:lineRule="exact"/>
        <w:jc w:val="left"/>
        <w:rPr>
          <w:rFonts w:ascii="宋体" w:hAnsi="宋体" w:eastAsia="宋体" w:cs="宋体"/>
          <w:szCs w:val="21"/>
        </w:rPr>
      </w:pPr>
      <w:r>
        <w:rPr>
          <w:rFonts w:hint="eastAsia" w:ascii="宋体" w:hAnsi="宋体" w:eastAsia="宋体" w:cs="宋体"/>
          <w:szCs w:val="21"/>
        </w:rPr>
        <w:t>（1）本项目采用“远程不见面”开标方式。</w:t>
      </w:r>
    </w:p>
    <w:p>
      <w:pPr>
        <w:adjustRightInd w:val="0"/>
        <w:snapToGrid w:val="0"/>
        <w:spacing w:line="380" w:lineRule="exact"/>
        <w:jc w:val="left"/>
        <w:rPr>
          <w:rFonts w:ascii="宋体" w:hAnsi="宋体" w:eastAsia="宋体" w:cs="宋体"/>
          <w:szCs w:val="21"/>
        </w:rPr>
      </w:pPr>
      <w:r>
        <w:rPr>
          <w:rFonts w:hint="eastAsia" w:ascii="宋体" w:hAnsi="宋体" w:eastAsia="宋体" w:cs="宋体"/>
          <w:szCs w:val="21"/>
        </w:rPr>
        <w:t>（2）投标人无需到开封市公共资源交易中心现场参加开标会议。</w:t>
      </w:r>
    </w:p>
    <w:p>
      <w:pPr>
        <w:adjustRightInd w:val="0"/>
        <w:snapToGrid w:val="0"/>
        <w:spacing w:line="380" w:lineRule="exact"/>
        <w:jc w:val="left"/>
        <w:rPr>
          <w:rFonts w:ascii="宋体" w:hAnsi="宋体" w:eastAsia="宋体" w:cs="宋体"/>
          <w:szCs w:val="21"/>
        </w:rPr>
      </w:pPr>
      <w:r>
        <w:rPr>
          <w:rFonts w:hint="eastAsia" w:ascii="宋体" w:hAnsi="宋体" w:eastAsia="宋体" w:cs="宋体"/>
          <w:szCs w:val="21"/>
        </w:rPr>
        <w:t>（3）投标人应当在开标时间前,登录远程开标大厅,在线准时参加开标活动，开标活动开始后各投标人对电子投标文件进行解密，解密完成后各投标人的电子投标文件的实质性内容将自动显示在网页中。</w:t>
      </w:r>
    </w:p>
    <w:p>
      <w:pPr>
        <w:adjustRightInd w:val="0"/>
        <w:snapToGrid w:val="0"/>
        <w:spacing w:line="380" w:lineRule="exact"/>
        <w:jc w:val="left"/>
        <w:rPr>
          <w:rFonts w:ascii="宋体" w:hAnsi="宋体" w:eastAsia="宋体" w:cs="宋体"/>
          <w:szCs w:val="21"/>
        </w:rPr>
      </w:pPr>
      <w:r>
        <w:rPr>
          <w:rFonts w:hint="eastAsia" w:ascii="宋体" w:hAnsi="宋体" w:eastAsia="宋体" w:cs="宋体"/>
          <w:szCs w:val="21"/>
        </w:rPr>
        <w:t>（4）投标人在投标截止时间前未上传电子投标文件的将视为放弃投标，因投标人原因造成投标文件未解密成功的，视为撤销其投标文件；</w:t>
      </w:r>
    </w:p>
    <w:p>
      <w:pPr>
        <w:adjustRightInd w:val="0"/>
        <w:snapToGrid w:val="0"/>
        <w:spacing w:line="380" w:lineRule="exact"/>
        <w:jc w:val="left"/>
        <w:rPr>
          <w:rFonts w:ascii="宋体" w:hAnsi="宋体" w:eastAsia="宋体" w:cs="宋体"/>
          <w:szCs w:val="21"/>
        </w:rPr>
      </w:pPr>
      <w:r>
        <w:rPr>
          <w:rFonts w:hint="eastAsia" w:ascii="宋体" w:hAnsi="宋体" w:eastAsia="宋体" w:cs="宋体"/>
          <w:szCs w:val="21"/>
        </w:rPr>
        <w:t>（5）投标人在参加远程开标会议时，投标人如果对开标过程有异议的，可在当前页面中提出质疑，可以在解密过程中以及解密倒计时结束后5分钟内提出，如果所有投标人都已解密，可在解密过程中及最后一个投标人解密之后5分钟内提出；可以在解密环节看到其他投标人解密状态。</w:t>
      </w:r>
    </w:p>
    <w:p>
      <w:pPr>
        <w:adjustRightInd w:val="0"/>
        <w:snapToGrid w:val="0"/>
        <w:spacing w:line="380" w:lineRule="exact"/>
        <w:rPr>
          <w:rFonts w:ascii="宋体" w:hAnsi="宋体" w:eastAsia="宋体" w:cs="宋体"/>
          <w:szCs w:val="21"/>
        </w:rPr>
      </w:pPr>
      <w:r>
        <w:rPr>
          <w:rFonts w:hint="eastAsia" w:ascii="宋体" w:hAnsi="宋体" w:eastAsia="宋体" w:cs="宋体"/>
          <w:szCs w:val="21"/>
        </w:rPr>
        <w:t xml:space="preserve">具体开标程序及投标人操作指南详见http://www.kfsggzyjyw.cn/kfczgc/24421.jhtml </w:t>
      </w:r>
      <w:r>
        <w:fldChar w:fldCharType="begin"/>
      </w:r>
      <w:r>
        <w:instrText xml:space="preserve"> HYPERLINK "http://www.kfsggzyjyw.cn/u/cms/www/202002/开封市公共资源交易平台不见面开标系统操作手册-投标单位.pdf" </w:instrText>
      </w:r>
      <w:r>
        <w:fldChar w:fldCharType="separate"/>
      </w:r>
      <w:r>
        <w:rPr>
          <w:rFonts w:hint="eastAsia" w:ascii="宋体" w:hAnsi="宋体" w:eastAsia="宋体" w:cs="宋体"/>
          <w:szCs w:val="21"/>
        </w:rPr>
        <w:t>开封市公共资源交易平台不见面开标系统操作手册</w:t>
      </w:r>
      <w:r>
        <w:rPr>
          <w:rFonts w:hint="eastAsia" w:ascii="宋体" w:hAnsi="宋体" w:eastAsia="宋体" w:cs="宋体"/>
          <w:szCs w:val="21"/>
        </w:rPr>
        <w:fldChar w:fldCharType="end"/>
      </w:r>
    </w:p>
    <w:p>
      <w:pPr>
        <w:adjustRightInd w:val="0"/>
        <w:snapToGrid w:val="0"/>
        <w:spacing w:line="380" w:lineRule="exact"/>
        <w:outlineLvl w:val="2"/>
        <w:rPr>
          <w:rFonts w:ascii="宋体" w:hAnsi="宋体" w:eastAsia="宋体" w:cs="宋体"/>
          <w:b/>
          <w:szCs w:val="21"/>
        </w:rPr>
      </w:pPr>
      <w:bookmarkStart w:id="110" w:name="_Toc18158"/>
      <w:bookmarkStart w:id="111" w:name="_Toc532137429"/>
      <w:bookmarkStart w:id="112" w:name="_Toc28070"/>
      <w:bookmarkStart w:id="113" w:name="_Toc13561"/>
      <w:bookmarkStart w:id="114" w:name="_Toc1981981"/>
      <w:bookmarkStart w:id="115" w:name="_Toc17663"/>
      <w:bookmarkStart w:id="116" w:name="_Toc32311"/>
      <w:bookmarkStart w:id="117" w:name="_Toc88158580"/>
      <w:r>
        <w:rPr>
          <w:rFonts w:hint="eastAsia" w:ascii="宋体" w:hAnsi="宋体" w:eastAsia="宋体" w:cs="宋体"/>
          <w:b/>
          <w:szCs w:val="21"/>
        </w:rPr>
        <w:t>6．评标</w:t>
      </w:r>
      <w:bookmarkEnd w:id="108"/>
      <w:bookmarkEnd w:id="109"/>
      <w:bookmarkEnd w:id="110"/>
      <w:bookmarkEnd w:id="111"/>
      <w:bookmarkEnd w:id="112"/>
      <w:bookmarkEnd w:id="113"/>
      <w:bookmarkEnd w:id="114"/>
      <w:bookmarkEnd w:id="115"/>
      <w:bookmarkEnd w:id="116"/>
      <w:bookmarkEnd w:id="117"/>
    </w:p>
    <w:p>
      <w:pPr>
        <w:adjustRightInd w:val="0"/>
        <w:snapToGrid w:val="0"/>
        <w:spacing w:line="380" w:lineRule="exact"/>
        <w:rPr>
          <w:rFonts w:ascii="宋体" w:hAnsi="宋体" w:eastAsia="宋体" w:cs="宋体"/>
          <w:b/>
          <w:szCs w:val="21"/>
        </w:rPr>
      </w:pPr>
      <w:r>
        <w:rPr>
          <w:rFonts w:hint="eastAsia" w:ascii="宋体" w:hAnsi="宋体" w:eastAsia="宋体" w:cs="宋体"/>
          <w:b/>
          <w:szCs w:val="21"/>
        </w:rPr>
        <w:t>6.1 评标委员会</w:t>
      </w:r>
    </w:p>
    <w:p>
      <w:pPr>
        <w:autoSpaceDE w:val="0"/>
        <w:autoSpaceDN w:val="0"/>
        <w:adjustRightInd w:val="0"/>
        <w:spacing w:line="38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6.1.1 评标由招标人依法组建的评标委员会负责。评标委员会由招标人代表或其委托招标代理机构以及监督人员从有关部门组建的评标专家库中随机抽取，其中技术、经济等方面的专家人数不得少于评标委员会成员的三分之二，评标人数详见投标须知前附表。评标委员会中技术、经济等方面专家的确定方式见投标人须知前附表。</w:t>
      </w:r>
    </w:p>
    <w:p>
      <w:pPr>
        <w:adjustRightInd w:val="0"/>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6.1.2 评标委员会成员有下列情形之一的，应当回避：</w:t>
      </w:r>
    </w:p>
    <w:p>
      <w:pPr>
        <w:adjustRightInd w:val="0"/>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（1）投标人或投标人主要负责人的近亲属；</w:t>
      </w:r>
    </w:p>
    <w:p>
      <w:pPr>
        <w:adjustRightInd w:val="0"/>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（2）项目主管部门或者行政监督部门的人员；</w:t>
      </w:r>
    </w:p>
    <w:p>
      <w:pPr>
        <w:adjustRightInd w:val="0"/>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（3）与投标人有经济利益关系，可能影响对投标公正评审的；</w:t>
      </w:r>
    </w:p>
    <w:p>
      <w:pPr>
        <w:adjustRightInd w:val="0"/>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（4）曾因在招标、评标以及其他与招标投标有关活动中从事违法行为而受过行政处罚或刑事处罚的；</w:t>
      </w:r>
    </w:p>
    <w:p>
      <w:pPr>
        <w:adjustRightInd w:val="0"/>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（5）与投标人有其他利害关系。</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6.2 评标原则</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评标活动遵循公平、公正、科学和择优的原则。</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6.3 评标</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6.3.1 评标委员会按照第三章“评标办法”规定的方法、评审因素、标准和程序对投标文件进行评审。第三章“评标办法”没有规定的方法、评审因素和标准，不作为评标依据。</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6.3.2 评标完成后，评标委员会应当向招标人提交书面评标报告和</w:t>
      </w:r>
      <w:r>
        <w:rPr>
          <w:rFonts w:hint="eastAsia" w:ascii="宋体" w:hAnsi="宋体" w:eastAsia="宋体" w:cs="宋体"/>
          <w:szCs w:val="21"/>
          <w:lang w:eastAsia="zh-CN"/>
        </w:rPr>
        <w:t>中标候选人</w:t>
      </w:r>
      <w:r>
        <w:rPr>
          <w:rFonts w:hint="eastAsia" w:ascii="宋体" w:hAnsi="宋体" w:eastAsia="宋体" w:cs="宋体"/>
          <w:szCs w:val="21"/>
        </w:rPr>
        <w:t>名单。评标委员会推荐</w:t>
      </w:r>
      <w:r>
        <w:rPr>
          <w:rFonts w:hint="eastAsia" w:ascii="宋体" w:hAnsi="宋体" w:eastAsia="宋体" w:cs="宋体"/>
          <w:szCs w:val="21"/>
          <w:lang w:eastAsia="zh-CN"/>
        </w:rPr>
        <w:t>中标入围</w:t>
      </w:r>
      <w:r>
        <w:rPr>
          <w:rFonts w:hint="eastAsia" w:ascii="宋体" w:hAnsi="宋体" w:eastAsia="宋体" w:cs="宋体"/>
          <w:szCs w:val="21"/>
        </w:rPr>
        <w:t>的人数见投标人须知前附表。</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7. 合同授予 </w:t>
      </w:r>
    </w:p>
    <w:p>
      <w:pPr>
        <w:adjustRightInd w:val="0"/>
        <w:snapToGrid w:val="0"/>
        <w:spacing w:line="384" w:lineRule="exact"/>
        <w:rPr>
          <w:rFonts w:ascii="宋体" w:hAnsi="宋体" w:eastAsia="宋体" w:cs="宋体"/>
          <w:b/>
          <w:szCs w:val="21"/>
        </w:rPr>
      </w:pPr>
      <w:bookmarkStart w:id="118" w:name="_Toc184635078"/>
      <w:r>
        <w:rPr>
          <w:rFonts w:hint="eastAsia" w:ascii="宋体" w:hAnsi="宋体" w:eastAsia="宋体" w:cs="宋体"/>
          <w:b/>
          <w:szCs w:val="21"/>
        </w:rPr>
        <w:t xml:space="preserve">7.1 </w:t>
      </w:r>
      <w:r>
        <w:rPr>
          <w:rFonts w:hint="eastAsia" w:ascii="宋体" w:hAnsi="宋体" w:eastAsia="宋体" w:cs="宋体"/>
          <w:b/>
          <w:szCs w:val="21"/>
          <w:lang w:eastAsia="zh-CN"/>
        </w:rPr>
        <w:t>中标</w:t>
      </w:r>
      <w:r>
        <w:rPr>
          <w:rFonts w:hint="eastAsia" w:ascii="宋体" w:hAnsi="宋体" w:eastAsia="宋体" w:cs="宋体"/>
          <w:b/>
          <w:szCs w:val="21"/>
        </w:rPr>
        <w:t>公示</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按照投标人须知前附表规定的公示媒介公示</w:t>
      </w:r>
      <w:r>
        <w:rPr>
          <w:rFonts w:hint="eastAsia" w:ascii="宋体" w:hAnsi="宋体" w:eastAsia="宋体" w:cs="宋体"/>
          <w:szCs w:val="21"/>
          <w:lang w:eastAsia="zh-CN"/>
        </w:rPr>
        <w:t>中标入围</w:t>
      </w:r>
      <w:r>
        <w:rPr>
          <w:rFonts w:hint="eastAsia" w:ascii="宋体" w:hAnsi="宋体" w:eastAsia="宋体" w:cs="宋体"/>
          <w:szCs w:val="21"/>
          <w:lang w:val="en-US" w:eastAsia="zh-CN"/>
        </w:rPr>
        <w:t>单位</w:t>
      </w:r>
      <w:r>
        <w:rPr>
          <w:rFonts w:hint="eastAsia" w:ascii="宋体" w:hAnsi="宋体" w:eastAsia="宋体" w:cs="宋体"/>
          <w:szCs w:val="21"/>
        </w:rPr>
        <w:t>。</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7.2 评标结果异议</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投标人或者其他利害关系人对评标结果有异议的，应当在</w:t>
      </w:r>
      <w:r>
        <w:rPr>
          <w:rFonts w:hint="eastAsia" w:ascii="宋体" w:hAnsi="宋体" w:eastAsia="宋体" w:cs="宋体"/>
          <w:szCs w:val="21"/>
          <w:lang w:eastAsia="zh-CN"/>
        </w:rPr>
        <w:t>中标入围</w:t>
      </w:r>
      <w:r>
        <w:rPr>
          <w:rFonts w:hint="eastAsia" w:ascii="宋体" w:hAnsi="宋体" w:eastAsia="宋体" w:cs="宋体"/>
          <w:szCs w:val="21"/>
          <w:lang w:val="en-US" w:eastAsia="zh-CN"/>
        </w:rPr>
        <w:t>单位</w:t>
      </w:r>
      <w:r>
        <w:rPr>
          <w:rFonts w:hint="eastAsia" w:ascii="宋体" w:hAnsi="宋体" w:eastAsia="宋体" w:cs="宋体"/>
          <w:szCs w:val="21"/>
        </w:rPr>
        <w:t>公示期间提出。招标人将在收到异议之日起 3 日内作出答复；作出答复前，将暂停招标投标活动。</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 xml:space="preserve">7.3 </w:t>
      </w:r>
      <w:r>
        <w:rPr>
          <w:rFonts w:hint="eastAsia" w:ascii="宋体" w:hAnsi="宋体" w:eastAsia="宋体" w:cs="宋体"/>
          <w:b/>
          <w:szCs w:val="21"/>
          <w:lang w:eastAsia="zh-CN"/>
        </w:rPr>
        <w:t>中标入围</w:t>
      </w:r>
      <w:r>
        <w:rPr>
          <w:rFonts w:hint="eastAsia" w:ascii="宋体" w:hAnsi="宋体" w:eastAsia="宋体" w:cs="宋体"/>
          <w:b/>
          <w:szCs w:val="21"/>
          <w:lang w:val="en-US" w:eastAsia="zh-CN"/>
        </w:rPr>
        <w:t>单位</w:t>
      </w:r>
      <w:r>
        <w:rPr>
          <w:rFonts w:hint="eastAsia" w:ascii="宋体" w:hAnsi="宋体" w:eastAsia="宋体" w:cs="宋体"/>
          <w:b/>
          <w:szCs w:val="21"/>
        </w:rPr>
        <w:t>履约能力审查</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中标候选人的经营、财务状况发生较大变化或存在违法行为，招标人认为可能影响其履约能力的，将在发出中标通知书前提请原评标委员会按照招标文件规定的标准和方法进行审查确认。</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7.4 定标</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按照投标人须知前附表的规定，招标人或招标人授权的评标委员会依法确定中标人。</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7.5 中标通知</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在本章第 3.3 款规定的投标有效期内，招标人以书面形式向中标人发出中标通知书，同时将中标结果通知未中标的投标人。</w:t>
      </w:r>
    </w:p>
    <w:p>
      <w:pPr>
        <w:adjustRightInd w:val="0"/>
        <w:snapToGrid w:val="0"/>
        <w:spacing w:line="384" w:lineRule="exact"/>
        <w:rPr>
          <w:rFonts w:ascii="宋体" w:hAnsi="宋体" w:eastAsia="宋体" w:cs="宋体"/>
          <w:szCs w:val="21"/>
        </w:rPr>
      </w:pPr>
      <w:r>
        <w:rPr>
          <w:rFonts w:hint="eastAsia" w:ascii="宋体" w:hAnsi="宋体" w:eastAsia="宋体" w:cs="宋体"/>
          <w:b/>
          <w:szCs w:val="21"/>
        </w:rPr>
        <w:t>7.6履约保证金（本项目不适用）</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bookmarkStart w:id="210" w:name="_GoBack"/>
      <w:bookmarkEnd w:id="210"/>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7.6.2 中标人不能按本章第 7.6.1 项要求提交履约保证金的，视为放弃中标，其投标保证金不予退还，给招标人造成的损失超过投标保证金数额的，中标人还应当对超过部分予以赔偿。</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7.7 签订合同</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7.7.1 招标人和中标人应当在中标通知书发出之日起 30 日内，根据招标文件和中标人的投标文件订立书面合同。中标人无正当理由拒签合同，在签订合同时向招标人提出附加条件，招标人有权取消其中标资格，其投标保证金不予退还；给招标人造成的损失超过投标保证金数额的，中标人还应当对超过部分予以赔偿。</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7.7.2 发出中标通知书后，招标人无正当理由拒签合同，或者在签订合同时向中标人提出附加条件的，招标人向中标人退还投标保证金；给中标人造成损失的，还应当赔偿损失。</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7.7.3 联合体中标的，联合体各方应当共同与招标人签订合同，就中标项目向招标人承担连带责任。</w:t>
      </w:r>
    </w:p>
    <w:bookmarkEnd w:id="118"/>
    <w:p>
      <w:pPr>
        <w:adjustRightInd w:val="0"/>
        <w:snapToGrid w:val="0"/>
        <w:spacing w:line="384" w:lineRule="exact"/>
        <w:rPr>
          <w:rFonts w:ascii="宋体" w:hAnsi="宋体" w:eastAsia="宋体" w:cs="宋体"/>
          <w:b/>
          <w:szCs w:val="21"/>
        </w:rPr>
      </w:pPr>
      <w:bookmarkStart w:id="119" w:name="_Toc184635079"/>
      <w:r>
        <w:rPr>
          <w:rFonts w:hint="eastAsia" w:ascii="宋体" w:hAnsi="宋体" w:eastAsia="宋体" w:cs="宋体"/>
          <w:b/>
          <w:szCs w:val="21"/>
        </w:rPr>
        <w:t>8.纪律和监督</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8.1 对招标人的纪律要求</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招标人不得泄露招标投标活动中应当保密的情况和资料，不得与投标人串通损害国家利益、社会公共利益或者他人合法权益。</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8.2 对投标人的纪律要求</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8.3 对评标委员会成员的纪律要求</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8.4 对与评标活动有关的工作人员的纪律要求</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djustRightInd w:val="0"/>
        <w:snapToGrid w:val="0"/>
        <w:spacing w:line="384" w:lineRule="exact"/>
        <w:rPr>
          <w:rFonts w:ascii="宋体" w:hAnsi="宋体" w:eastAsia="宋体" w:cs="宋体"/>
          <w:b/>
          <w:szCs w:val="21"/>
        </w:rPr>
      </w:pPr>
      <w:r>
        <w:rPr>
          <w:rFonts w:hint="eastAsia" w:ascii="宋体" w:hAnsi="宋体" w:eastAsia="宋体" w:cs="宋体"/>
          <w:b/>
          <w:szCs w:val="21"/>
        </w:rPr>
        <w:t>8.5 投诉</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 xml:space="preserve">8.5.1 </w:t>
      </w:r>
      <w:r>
        <w:rPr>
          <w:rFonts w:hint="eastAsia" w:ascii="宋体" w:hAnsi="宋体" w:eastAsia="宋体" w:cs="宋体"/>
          <w:spacing w:val="-6"/>
          <w:szCs w:val="21"/>
        </w:rPr>
        <w:t>投标人或者其他利害关系人认为招标投标活动不符合法律、行政法规规定的，可以自知道或者应当知道之日起 10 日内向有关行政监督部门投诉。投诉应当有明确的请求和必要的证明材料。</w:t>
      </w:r>
    </w:p>
    <w:p>
      <w:pPr>
        <w:adjustRightInd w:val="0"/>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8.5.2 投标人或者其他利害关系人对招标文件、开标和评标结果提出投诉的，应当按照投标人须知第 2.4 款和第 7.2 款的规定先向招标人提出异议。异议答复期间不计算在第 8.5.1项规定的期限内。</w:t>
      </w:r>
    </w:p>
    <w:bookmarkEnd w:id="119"/>
    <w:p>
      <w:pPr>
        <w:adjustRightInd w:val="0"/>
        <w:snapToGrid w:val="0"/>
        <w:spacing w:line="384" w:lineRule="exact"/>
        <w:rPr>
          <w:rFonts w:ascii="宋体" w:hAnsi="宋体" w:eastAsia="宋体" w:cs="宋体"/>
          <w:b/>
          <w:szCs w:val="21"/>
        </w:rPr>
      </w:pPr>
      <w:bookmarkStart w:id="120" w:name="_Hlt188409373"/>
      <w:bookmarkEnd w:id="120"/>
      <w:r>
        <w:rPr>
          <w:rFonts w:hint="eastAsia" w:ascii="宋体" w:hAnsi="宋体" w:eastAsia="宋体" w:cs="宋体"/>
          <w:b/>
          <w:szCs w:val="21"/>
        </w:rPr>
        <w:t>9.是否采用电子招标投标</w:t>
      </w:r>
    </w:p>
    <w:p>
      <w:pPr>
        <w:adjustRightInd w:val="0"/>
        <w:snapToGrid w:val="0"/>
        <w:spacing w:line="384" w:lineRule="exact"/>
        <w:ind w:firstLine="210" w:firstLineChars="100"/>
        <w:rPr>
          <w:rFonts w:ascii="宋体" w:hAnsi="宋体" w:eastAsia="宋体" w:cs="宋体"/>
          <w:szCs w:val="21"/>
        </w:rPr>
      </w:pPr>
      <w:r>
        <w:rPr>
          <w:rFonts w:hint="eastAsia" w:ascii="宋体" w:hAnsi="宋体" w:eastAsia="宋体" w:cs="宋体"/>
          <w:szCs w:val="21"/>
        </w:rPr>
        <w:t>本招标项目采用电子招标投标方式。</w:t>
      </w:r>
    </w:p>
    <w:p>
      <w:pPr>
        <w:rPr>
          <w:rFonts w:ascii="宋体" w:hAnsi="宋体" w:eastAsia="宋体" w:cs="宋体"/>
          <w:b/>
          <w:sz w:val="32"/>
          <w:szCs w:val="32"/>
        </w:rPr>
      </w:pPr>
      <w:bookmarkStart w:id="121" w:name="_Toc334881519"/>
      <w:bookmarkStart w:id="122" w:name="_Toc9451"/>
      <w:bookmarkStart w:id="123" w:name="_Toc88158581"/>
      <w:r>
        <w:rPr>
          <w:rFonts w:hint="eastAsia" w:ascii="宋体" w:hAnsi="宋体" w:eastAsia="宋体" w:cs="宋体"/>
          <w:b/>
          <w:sz w:val="32"/>
          <w:szCs w:val="32"/>
        </w:rPr>
        <w:br w:type="page"/>
      </w:r>
    </w:p>
    <w:p>
      <w:pPr>
        <w:spacing w:line="360" w:lineRule="auto"/>
        <w:jc w:val="center"/>
        <w:outlineLvl w:val="0"/>
        <w:rPr>
          <w:rFonts w:ascii="宋体" w:hAnsi="宋体" w:eastAsia="宋体" w:cs="宋体"/>
          <w:b/>
          <w:sz w:val="32"/>
          <w:szCs w:val="32"/>
        </w:rPr>
      </w:pPr>
      <w:bookmarkStart w:id="124" w:name="_Toc21355"/>
      <w:r>
        <w:rPr>
          <w:rFonts w:hint="eastAsia" w:ascii="宋体" w:hAnsi="宋体" w:eastAsia="宋体" w:cs="宋体"/>
          <w:b/>
          <w:sz w:val="32"/>
          <w:szCs w:val="32"/>
        </w:rPr>
        <w:t>第三章 评标办法</w:t>
      </w:r>
      <w:bookmarkEnd w:id="121"/>
      <w:bookmarkEnd w:id="122"/>
      <w:bookmarkEnd w:id="123"/>
      <w:bookmarkEnd w:id="124"/>
      <w:bookmarkStart w:id="125" w:name="_Toc334881520"/>
    </w:p>
    <w:bookmarkEnd w:id="125"/>
    <w:p>
      <w:pPr>
        <w:pStyle w:val="8"/>
        <w:spacing w:line="240" w:lineRule="auto"/>
        <w:jc w:val="left"/>
        <w:rPr>
          <w:rFonts w:ascii="宋体" w:hAnsi="宋体" w:eastAsia="宋体" w:cs="宋体"/>
          <w:sz w:val="22"/>
          <w:szCs w:val="22"/>
        </w:rPr>
      </w:pPr>
      <w:bookmarkStart w:id="126" w:name="_Toc22211"/>
      <w:bookmarkStart w:id="127" w:name="_Toc18582"/>
      <w:bookmarkStart w:id="128" w:name="_Toc30695"/>
      <w:bookmarkStart w:id="129" w:name="_Toc1804"/>
      <w:r>
        <w:rPr>
          <w:rFonts w:hint="eastAsia" w:ascii="宋体" w:hAnsi="宋体" w:eastAsia="宋体" w:cs="宋体"/>
          <w:sz w:val="22"/>
          <w:szCs w:val="22"/>
        </w:rPr>
        <w:t>1、评标准则和评标方法</w:t>
      </w:r>
      <w:bookmarkEnd w:id="126"/>
      <w:bookmarkEnd w:id="127"/>
      <w:bookmarkEnd w:id="128"/>
      <w:bookmarkEnd w:id="129"/>
    </w:p>
    <w:p>
      <w:pPr>
        <w:pStyle w:val="33"/>
        <w:spacing w:line="360" w:lineRule="auto"/>
        <w:rPr>
          <w:rFonts w:ascii="宋体" w:hAnsi="宋体" w:eastAsia="宋体" w:cs="宋体"/>
          <w:sz w:val="21"/>
          <w:szCs w:val="21"/>
        </w:rPr>
      </w:pPr>
      <w:r>
        <w:rPr>
          <w:rFonts w:hint="eastAsia" w:ascii="宋体" w:hAnsi="宋体" w:eastAsia="宋体" w:cs="宋体"/>
          <w:sz w:val="21"/>
          <w:szCs w:val="21"/>
        </w:rPr>
        <w:t>本次评标采用综合评分法（满分100分）；即在最大限度地满足招标文件实质性要求前提下，按照招标文件中规定的各项因素进行综合评审后，按总得分高于80分（含80分）的多家投标人作为入围中标人。</w:t>
      </w:r>
    </w:p>
    <w:p>
      <w:pPr>
        <w:pStyle w:val="8"/>
        <w:spacing w:line="240" w:lineRule="auto"/>
        <w:jc w:val="left"/>
        <w:rPr>
          <w:rFonts w:ascii="宋体" w:hAnsi="宋体" w:eastAsia="宋体" w:cs="宋体"/>
          <w:sz w:val="22"/>
          <w:szCs w:val="22"/>
        </w:rPr>
      </w:pPr>
      <w:bookmarkStart w:id="130" w:name="_Toc15601"/>
      <w:bookmarkStart w:id="131" w:name="_Toc10884"/>
      <w:bookmarkStart w:id="132" w:name="_Toc23290"/>
      <w:bookmarkStart w:id="133" w:name="_Toc6675"/>
      <w:r>
        <w:rPr>
          <w:rFonts w:hint="eastAsia" w:ascii="宋体" w:hAnsi="宋体" w:eastAsia="宋体" w:cs="宋体"/>
          <w:sz w:val="22"/>
          <w:szCs w:val="22"/>
        </w:rPr>
        <w:t>2、评标办法前附表</w:t>
      </w:r>
      <w:bookmarkEnd w:id="130"/>
      <w:bookmarkEnd w:id="131"/>
      <w:bookmarkEnd w:id="132"/>
      <w:bookmarkEnd w:id="133"/>
    </w:p>
    <w:p>
      <w:pPr>
        <w:pStyle w:val="8"/>
        <w:spacing w:line="240" w:lineRule="auto"/>
        <w:jc w:val="left"/>
        <w:rPr>
          <w:rFonts w:ascii="宋体" w:hAnsi="宋体" w:eastAsia="宋体" w:cs="宋体"/>
          <w:sz w:val="22"/>
          <w:szCs w:val="22"/>
        </w:rPr>
      </w:pPr>
      <w:bookmarkStart w:id="134" w:name="_Toc6404"/>
      <w:bookmarkStart w:id="135" w:name="_Toc31469"/>
      <w:bookmarkStart w:id="136" w:name="_Toc4134"/>
      <w:bookmarkStart w:id="137" w:name="_Toc15251"/>
      <w:bookmarkStart w:id="138" w:name="_Toc517275173"/>
      <w:bookmarkStart w:id="139" w:name="_Toc27583"/>
      <w:bookmarkStart w:id="140" w:name="_Toc3516"/>
      <w:r>
        <w:rPr>
          <w:rFonts w:hint="eastAsia" w:ascii="宋体" w:hAnsi="宋体" w:eastAsia="宋体" w:cs="宋体"/>
          <w:sz w:val="22"/>
          <w:szCs w:val="22"/>
        </w:rPr>
        <w:t>2.1初步评审</w:t>
      </w:r>
      <w:bookmarkEnd w:id="134"/>
      <w:bookmarkEnd w:id="135"/>
      <w:bookmarkEnd w:id="136"/>
      <w:bookmarkEnd w:id="137"/>
      <w:bookmarkEnd w:id="138"/>
      <w:bookmarkEnd w:id="139"/>
      <w:bookmarkEnd w:id="140"/>
    </w:p>
    <w:tbl>
      <w:tblPr>
        <w:tblStyle w:val="22"/>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55"/>
        <w:gridCol w:w="1875"/>
        <w:gridCol w:w="1890"/>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248" w:type="dxa"/>
            <w:gridSpan w:val="3"/>
            <w:vAlign w:val="center"/>
          </w:tcPr>
          <w:p>
            <w:pPr>
              <w:jc w:val="center"/>
              <w:rPr>
                <w:rFonts w:ascii="宋体" w:hAnsi="宋体" w:eastAsia="宋体" w:cs="宋体"/>
                <w:b/>
                <w:szCs w:val="21"/>
              </w:rPr>
            </w:pPr>
            <w:r>
              <w:rPr>
                <w:rFonts w:hint="eastAsia" w:ascii="宋体" w:hAnsi="宋体" w:eastAsia="宋体" w:cs="宋体"/>
                <w:b/>
                <w:szCs w:val="21"/>
              </w:rPr>
              <w:t>条款号</w:t>
            </w:r>
          </w:p>
        </w:tc>
        <w:tc>
          <w:tcPr>
            <w:tcW w:w="1890" w:type="dxa"/>
            <w:vAlign w:val="center"/>
          </w:tcPr>
          <w:p>
            <w:pPr>
              <w:jc w:val="center"/>
              <w:rPr>
                <w:rFonts w:ascii="宋体" w:hAnsi="宋体" w:eastAsia="宋体" w:cs="宋体"/>
                <w:b/>
                <w:szCs w:val="21"/>
              </w:rPr>
            </w:pPr>
            <w:r>
              <w:rPr>
                <w:rFonts w:hint="eastAsia" w:ascii="宋体" w:hAnsi="宋体" w:eastAsia="宋体" w:cs="宋体"/>
                <w:b/>
                <w:szCs w:val="21"/>
              </w:rPr>
              <w:t>评审因素</w:t>
            </w:r>
          </w:p>
        </w:tc>
        <w:tc>
          <w:tcPr>
            <w:tcW w:w="4938" w:type="dxa"/>
            <w:vAlign w:val="center"/>
          </w:tcPr>
          <w:p>
            <w:pPr>
              <w:jc w:val="center"/>
              <w:rPr>
                <w:rFonts w:ascii="宋体" w:hAnsi="宋体" w:eastAsia="宋体" w:cs="宋体"/>
                <w:b/>
                <w:szCs w:val="21"/>
              </w:rPr>
            </w:pPr>
            <w:r>
              <w:rPr>
                <w:rFonts w:hint="eastAsia" w:ascii="宋体" w:hAnsi="宋体" w:eastAsia="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18" w:type="dxa"/>
            <w:vMerge w:val="restart"/>
            <w:vAlign w:val="center"/>
          </w:tcPr>
          <w:p>
            <w:pPr>
              <w:jc w:val="center"/>
              <w:rPr>
                <w:rFonts w:ascii="宋体" w:hAnsi="宋体" w:eastAsia="宋体" w:cs="宋体"/>
                <w:szCs w:val="21"/>
              </w:rPr>
            </w:pPr>
          </w:p>
        </w:tc>
        <w:tc>
          <w:tcPr>
            <w:tcW w:w="855" w:type="dxa"/>
            <w:vMerge w:val="restart"/>
            <w:vAlign w:val="center"/>
          </w:tcPr>
          <w:p>
            <w:pPr>
              <w:jc w:val="center"/>
              <w:rPr>
                <w:rFonts w:ascii="宋体" w:hAnsi="宋体" w:eastAsia="宋体" w:cs="宋体"/>
                <w:szCs w:val="21"/>
              </w:rPr>
            </w:pPr>
            <w:r>
              <w:rPr>
                <w:rFonts w:hint="eastAsia" w:ascii="宋体" w:hAnsi="宋体" w:eastAsia="宋体" w:cs="宋体"/>
                <w:szCs w:val="21"/>
              </w:rPr>
              <w:t>2.1.1</w:t>
            </w:r>
          </w:p>
        </w:tc>
        <w:tc>
          <w:tcPr>
            <w:tcW w:w="1875" w:type="dxa"/>
            <w:vMerge w:val="restart"/>
            <w:vAlign w:val="center"/>
          </w:tcPr>
          <w:p>
            <w:pPr>
              <w:jc w:val="center"/>
              <w:rPr>
                <w:rFonts w:ascii="宋体" w:hAnsi="宋体" w:eastAsia="宋体" w:cs="宋体"/>
                <w:szCs w:val="21"/>
              </w:rPr>
            </w:pPr>
            <w:r>
              <w:rPr>
                <w:rFonts w:hint="eastAsia" w:ascii="宋体" w:hAnsi="宋体" w:eastAsia="宋体" w:cs="宋体"/>
                <w:szCs w:val="21"/>
              </w:rPr>
              <w:t>资格评审标准</w:t>
            </w:r>
          </w:p>
          <w:p>
            <w:pPr>
              <w:jc w:val="center"/>
              <w:rPr>
                <w:rFonts w:ascii="宋体" w:hAnsi="宋体" w:eastAsia="宋体" w:cs="宋体"/>
                <w:szCs w:val="21"/>
              </w:rPr>
            </w:pPr>
          </w:p>
        </w:tc>
        <w:tc>
          <w:tcPr>
            <w:tcW w:w="1890" w:type="dxa"/>
            <w:vAlign w:val="center"/>
          </w:tcPr>
          <w:p>
            <w:pPr>
              <w:autoSpaceDE w:val="0"/>
              <w:autoSpaceDN w:val="0"/>
              <w:spacing w:before="50"/>
              <w:ind w:right="97" w:firstLine="59" w:firstLineChars="28"/>
              <w:jc w:val="center"/>
              <w:rPr>
                <w:rFonts w:ascii="宋体" w:hAnsi="宋体" w:eastAsia="宋体" w:cs="宋体"/>
                <w:szCs w:val="21"/>
              </w:rPr>
            </w:pPr>
            <w:r>
              <w:rPr>
                <w:rFonts w:hint="eastAsia" w:ascii="宋体" w:hAnsi="宋体" w:eastAsia="宋体" w:cs="宋体"/>
                <w:spacing w:val="1"/>
                <w:szCs w:val="21"/>
              </w:rPr>
              <w:t>营业执照</w:t>
            </w:r>
          </w:p>
        </w:tc>
        <w:tc>
          <w:tcPr>
            <w:tcW w:w="4938" w:type="dxa"/>
            <w:vAlign w:val="center"/>
          </w:tcPr>
          <w:p>
            <w:pPr>
              <w:textAlignment w:val="baseline"/>
              <w:rPr>
                <w:rFonts w:ascii="宋体" w:hAnsi="宋体" w:eastAsia="宋体" w:cs="宋体"/>
                <w:szCs w:val="21"/>
              </w:rPr>
            </w:pPr>
            <w:r>
              <w:rPr>
                <w:rFonts w:hint="eastAsia" w:ascii="宋体" w:hAnsi="宋体" w:eastAsia="宋体" w:cs="宋体"/>
              </w:rPr>
              <w:t>投标人须是在中国境内注册、拥有合法经营权的国有独资银行或股份制银行，具备有效的三证合一的营业执照，且在开封市祥符区境内具有营业网点（不含自助银行）的金融机构。（同一银行及下设的分支机构视为一个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18" w:type="dxa"/>
            <w:vMerge w:val="continue"/>
            <w:vAlign w:val="center"/>
          </w:tcPr>
          <w:p>
            <w:pPr>
              <w:jc w:val="center"/>
              <w:rPr>
                <w:rFonts w:ascii="宋体" w:hAnsi="宋体" w:eastAsia="宋体" w:cs="宋体"/>
                <w:szCs w:val="21"/>
              </w:rPr>
            </w:pPr>
          </w:p>
        </w:tc>
        <w:tc>
          <w:tcPr>
            <w:tcW w:w="855" w:type="dxa"/>
            <w:vMerge w:val="continue"/>
            <w:vAlign w:val="center"/>
          </w:tcPr>
          <w:p>
            <w:pPr>
              <w:jc w:val="center"/>
              <w:rPr>
                <w:rFonts w:ascii="宋体" w:hAnsi="宋体" w:eastAsia="宋体" w:cs="宋体"/>
                <w:szCs w:val="21"/>
              </w:rPr>
            </w:pPr>
          </w:p>
        </w:tc>
        <w:tc>
          <w:tcPr>
            <w:tcW w:w="1875" w:type="dxa"/>
            <w:vMerge w:val="continue"/>
            <w:vAlign w:val="center"/>
          </w:tcPr>
          <w:p>
            <w:pPr>
              <w:jc w:val="center"/>
              <w:rPr>
                <w:rFonts w:ascii="宋体" w:hAnsi="宋体" w:eastAsia="宋体" w:cs="宋体"/>
                <w:szCs w:val="21"/>
              </w:rPr>
            </w:pPr>
          </w:p>
        </w:tc>
        <w:tc>
          <w:tcPr>
            <w:tcW w:w="1890" w:type="dxa"/>
            <w:vAlign w:val="center"/>
          </w:tcPr>
          <w:p>
            <w:pPr>
              <w:autoSpaceDE w:val="0"/>
              <w:autoSpaceDN w:val="0"/>
              <w:spacing w:before="50"/>
              <w:ind w:right="97" w:firstLine="58" w:firstLineChars="28"/>
              <w:jc w:val="center"/>
              <w:rPr>
                <w:rFonts w:ascii="宋体" w:hAnsi="宋体" w:eastAsia="宋体" w:cs="宋体"/>
                <w:spacing w:val="1"/>
                <w:szCs w:val="21"/>
              </w:rPr>
            </w:pPr>
            <w:r>
              <w:rPr>
                <w:rFonts w:hint="eastAsia" w:ascii="宋体" w:hAnsi="宋体" w:eastAsia="宋体" w:cs="宋体"/>
                <w:szCs w:val="21"/>
              </w:rPr>
              <w:t>金融许可证</w:t>
            </w:r>
          </w:p>
        </w:tc>
        <w:tc>
          <w:tcPr>
            <w:tcW w:w="4938" w:type="dxa"/>
            <w:vAlign w:val="center"/>
          </w:tcPr>
          <w:p>
            <w:pPr>
              <w:textAlignment w:val="baseline"/>
              <w:rPr>
                <w:rFonts w:ascii="宋体" w:hAnsi="宋体" w:eastAsia="宋体" w:cs="宋体"/>
                <w:szCs w:val="21"/>
              </w:rPr>
            </w:pPr>
            <w:r>
              <w:rPr>
                <w:rFonts w:hint="eastAsia" w:ascii="宋体" w:hAnsi="宋体" w:eastAsia="宋体" w:cs="宋体"/>
                <w:szCs w:val="21"/>
              </w:rPr>
              <w:t>具有中国银行业监督管理委员会（简称银监会）依法颁发的金融许可证。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18" w:type="dxa"/>
            <w:vMerge w:val="continue"/>
            <w:vAlign w:val="center"/>
          </w:tcPr>
          <w:p>
            <w:pPr>
              <w:jc w:val="center"/>
              <w:rPr>
                <w:rFonts w:ascii="宋体" w:hAnsi="宋体" w:eastAsia="宋体" w:cs="宋体"/>
                <w:szCs w:val="21"/>
              </w:rPr>
            </w:pPr>
          </w:p>
        </w:tc>
        <w:tc>
          <w:tcPr>
            <w:tcW w:w="855" w:type="dxa"/>
            <w:vMerge w:val="continue"/>
            <w:vAlign w:val="center"/>
          </w:tcPr>
          <w:p>
            <w:pPr>
              <w:jc w:val="center"/>
              <w:rPr>
                <w:rFonts w:ascii="宋体" w:hAnsi="宋体" w:eastAsia="宋体" w:cs="宋体"/>
                <w:szCs w:val="21"/>
              </w:rPr>
            </w:pPr>
          </w:p>
        </w:tc>
        <w:tc>
          <w:tcPr>
            <w:tcW w:w="1875" w:type="dxa"/>
            <w:vMerge w:val="continue"/>
            <w:vAlign w:val="center"/>
          </w:tcPr>
          <w:p>
            <w:pPr>
              <w:jc w:val="center"/>
              <w:rPr>
                <w:rFonts w:ascii="宋体" w:hAnsi="宋体" w:eastAsia="宋体" w:cs="宋体"/>
                <w:szCs w:val="21"/>
              </w:rPr>
            </w:pPr>
          </w:p>
        </w:tc>
        <w:tc>
          <w:tcPr>
            <w:tcW w:w="1890" w:type="dxa"/>
            <w:vAlign w:val="center"/>
          </w:tcPr>
          <w:p>
            <w:pPr>
              <w:autoSpaceDE w:val="0"/>
              <w:autoSpaceDN w:val="0"/>
              <w:spacing w:before="50"/>
              <w:ind w:right="97" w:firstLine="58" w:firstLineChars="28"/>
              <w:jc w:val="center"/>
              <w:rPr>
                <w:rFonts w:ascii="宋体" w:hAnsi="宋体" w:eastAsia="宋体" w:cs="宋体"/>
                <w:szCs w:val="21"/>
              </w:rPr>
            </w:pPr>
            <w:r>
              <w:rPr>
                <w:rFonts w:hint="eastAsia" w:ascii="宋体" w:hAnsi="宋体" w:eastAsia="宋体" w:cs="宋体"/>
                <w:szCs w:val="21"/>
              </w:rPr>
              <w:t>纳税、社保</w:t>
            </w:r>
          </w:p>
        </w:tc>
        <w:tc>
          <w:tcPr>
            <w:tcW w:w="4938" w:type="dxa"/>
            <w:vAlign w:val="center"/>
          </w:tcPr>
          <w:p>
            <w:pPr>
              <w:pStyle w:val="20"/>
              <w:spacing w:beforeAutospacing="0" w:afterAutospacing="0"/>
              <w:rPr>
                <w:rFonts w:ascii="宋体" w:hAnsi="宋体" w:eastAsia="宋体" w:cs="宋体"/>
                <w:sz w:val="21"/>
                <w:szCs w:val="21"/>
              </w:rPr>
            </w:pPr>
            <w:r>
              <w:rPr>
                <w:rFonts w:hint="eastAsia" w:ascii="宋体" w:hAnsi="宋体" w:eastAsia="宋体" w:cs="宋体"/>
                <w:sz w:val="21"/>
                <w:szCs w:val="21"/>
              </w:rPr>
              <w:t>提供自2023年1月1日以来任意3个月的纳税凭证和缴纳养老保险证明，依法免税或不需要缴纳社会保障资金的投标人，应提供相应证明文件。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18" w:type="dxa"/>
            <w:vMerge w:val="continue"/>
            <w:vAlign w:val="center"/>
          </w:tcPr>
          <w:p>
            <w:pPr>
              <w:jc w:val="center"/>
              <w:rPr>
                <w:rFonts w:ascii="宋体" w:hAnsi="宋体" w:eastAsia="宋体" w:cs="宋体"/>
                <w:szCs w:val="21"/>
              </w:rPr>
            </w:pPr>
          </w:p>
        </w:tc>
        <w:tc>
          <w:tcPr>
            <w:tcW w:w="855" w:type="dxa"/>
            <w:vMerge w:val="continue"/>
            <w:vAlign w:val="center"/>
          </w:tcPr>
          <w:p>
            <w:pPr>
              <w:jc w:val="center"/>
              <w:rPr>
                <w:rFonts w:ascii="宋体" w:hAnsi="宋体" w:eastAsia="宋体" w:cs="宋体"/>
                <w:szCs w:val="21"/>
              </w:rPr>
            </w:pPr>
          </w:p>
        </w:tc>
        <w:tc>
          <w:tcPr>
            <w:tcW w:w="1875" w:type="dxa"/>
            <w:vMerge w:val="continue"/>
            <w:vAlign w:val="center"/>
          </w:tcPr>
          <w:p>
            <w:pPr>
              <w:jc w:val="center"/>
              <w:rPr>
                <w:rFonts w:ascii="宋体" w:hAnsi="宋体" w:eastAsia="宋体" w:cs="宋体"/>
                <w:szCs w:val="21"/>
              </w:rPr>
            </w:pPr>
          </w:p>
        </w:tc>
        <w:tc>
          <w:tcPr>
            <w:tcW w:w="1890" w:type="dxa"/>
            <w:vAlign w:val="center"/>
          </w:tcPr>
          <w:p>
            <w:pPr>
              <w:autoSpaceDE w:val="0"/>
              <w:autoSpaceDN w:val="0"/>
              <w:spacing w:before="50"/>
              <w:ind w:right="97" w:firstLine="58" w:firstLineChars="28"/>
              <w:jc w:val="center"/>
              <w:rPr>
                <w:rFonts w:ascii="宋体" w:hAnsi="宋体" w:eastAsia="宋体" w:cs="宋体"/>
                <w:szCs w:val="21"/>
              </w:rPr>
            </w:pPr>
            <w:r>
              <w:rPr>
                <w:rFonts w:hint="eastAsia" w:ascii="宋体" w:hAnsi="宋体" w:eastAsia="宋体" w:cs="宋体"/>
                <w:szCs w:val="21"/>
              </w:rPr>
              <w:t>财务状况</w:t>
            </w:r>
          </w:p>
        </w:tc>
        <w:tc>
          <w:tcPr>
            <w:tcW w:w="4938" w:type="dxa"/>
            <w:vAlign w:val="center"/>
          </w:tcPr>
          <w:p>
            <w:pPr>
              <w:pStyle w:val="20"/>
              <w:spacing w:beforeAutospacing="0" w:afterAutospacing="0"/>
              <w:rPr>
                <w:rFonts w:ascii="宋体" w:hAnsi="宋体" w:eastAsia="宋体" w:cs="宋体"/>
                <w:bCs/>
                <w:sz w:val="21"/>
                <w:szCs w:val="21"/>
                <w:shd w:val="clear" w:color="auto" w:fill="FFFFFF"/>
              </w:rPr>
            </w:pPr>
            <w:r>
              <w:rPr>
                <w:rFonts w:hint="eastAsia" w:ascii="宋体" w:hAnsi="宋体" w:eastAsia="宋体" w:cs="宋体"/>
                <w:sz w:val="21"/>
                <w:szCs w:val="21"/>
              </w:rPr>
              <w:t>提供</w:t>
            </w:r>
            <w:r>
              <w:rPr>
                <w:rFonts w:hint="eastAsia" w:ascii="宋体" w:hAnsi="宋体" w:eastAsia="宋体" w:cs="宋体"/>
                <w:bCs/>
                <w:sz w:val="21"/>
                <w:szCs w:val="21"/>
                <w:shd w:val="clear" w:color="auto" w:fill="FFFFFF"/>
              </w:rPr>
              <w:t>20</w:t>
            </w:r>
            <w:r>
              <w:rPr>
                <w:rFonts w:hint="eastAsia" w:ascii="宋体" w:hAnsi="宋体" w:eastAsia="宋体" w:cs="宋体"/>
                <w:bCs/>
                <w:sz w:val="21"/>
                <w:szCs w:val="21"/>
                <w:shd w:val="clear" w:color="auto" w:fill="FFFFFF"/>
                <w:lang w:val="en-US" w:eastAsia="zh-CN"/>
              </w:rPr>
              <w:t>20</w:t>
            </w:r>
            <w:r>
              <w:rPr>
                <w:rFonts w:hint="eastAsia" w:ascii="宋体" w:hAnsi="宋体" w:eastAsia="宋体" w:cs="宋体"/>
                <w:bCs/>
                <w:sz w:val="21"/>
                <w:szCs w:val="21"/>
                <w:shd w:val="clear" w:color="auto" w:fill="FFFFFF"/>
              </w:rPr>
              <w:t>年、202</w:t>
            </w:r>
            <w:r>
              <w:rPr>
                <w:rFonts w:hint="eastAsia" w:ascii="宋体" w:hAnsi="宋体" w:eastAsia="宋体" w:cs="宋体"/>
                <w:bCs/>
                <w:sz w:val="21"/>
                <w:szCs w:val="21"/>
                <w:shd w:val="clear" w:color="auto" w:fill="FFFFFF"/>
                <w:lang w:val="en-US" w:eastAsia="zh-CN"/>
              </w:rPr>
              <w:t>1</w:t>
            </w:r>
            <w:r>
              <w:rPr>
                <w:rFonts w:hint="eastAsia" w:ascii="宋体" w:hAnsi="宋体" w:eastAsia="宋体" w:cs="宋体"/>
                <w:bCs/>
                <w:sz w:val="21"/>
                <w:szCs w:val="21"/>
                <w:shd w:val="clear" w:color="auto" w:fill="FFFFFF"/>
              </w:rPr>
              <w:t>年、202</w:t>
            </w:r>
            <w:r>
              <w:rPr>
                <w:rFonts w:hint="eastAsia" w:ascii="宋体" w:hAnsi="宋体" w:eastAsia="宋体" w:cs="宋体"/>
                <w:bCs/>
                <w:sz w:val="21"/>
                <w:szCs w:val="21"/>
                <w:shd w:val="clear" w:color="auto" w:fill="FFFFFF"/>
                <w:lang w:val="en-US" w:eastAsia="zh-CN"/>
              </w:rPr>
              <w:t>2</w:t>
            </w:r>
            <w:r>
              <w:rPr>
                <w:rFonts w:hint="eastAsia" w:ascii="宋体" w:hAnsi="宋体" w:eastAsia="宋体" w:cs="宋体"/>
                <w:bCs/>
                <w:sz w:val="21"/>
                <w:szCs w:val="21"/>
                <w:shd w:val="clear" w:color="auto" w:fill="FFFFFF"/>
              </w:rPr>
              <w:t>年任意1年的财务审计报告；成立时间不足的企业按实际成立年限提供，新成立的公司提供资信证明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18" w:type="dxa"/>
            <w:vMerge w:val="continue"/>
            <w:vAlign w:val="center"/>
          </w:tcPr>
          <w:p>
            <w:pPr>
              <w:jc w:val="center"/>
              <w:rPr>
                <w:rFonts w:ascii="宋体" w:hAnsi="宋体" w:eastAsia="宋体" w:cs="宋体"/>
                <w:szCs w:val="21"/>
              </w:rPr>
            </w:pPr>
          </w:p>
        </w:tc>
        <w:tc>
          <w:tcPr>
            <w:tcW w:w="855" w:type="dxa"/>
            <w:vMerge w:val="continue"/>
            <w:vAlign w:val="center"/>
          </w:tcPr>
          <w:p>
            <w:pPr>
              <w:jc w:val="center"/>
              <w:rPr>
                <w:rFonts w:ascii="宋体" w:hAnsi="宋体" w:eastAsia="宋体" w:cs="宋体"/>
                <w:szCs w:val="21"/>
              </w:rPr>
            </w:pPr>
          </w:p>
        </w:tc>
        <w:tc>
          <w:tcPr>
            <w:tcW w:w="1875" w:type="dxa"/>
            <w:vMerge w:val="continue"/>
            <w:vAlign w:val="center"/>
          </w:tcPr>
          <w:p>
            <w:pPr>
              <w:jc w:val="center"/>
              <w:rPr>
                <w:rFonts w:ascii="宋体" w:hAnsi="宋体" w:eastAsia="宋体" w:cs="宋体"/>
                <w:szCs w:val="21"/>
              </w:rPr>
            </w:pPr>
          </w:p>
        </w:tc>
        <w:tc>
          <w:tcPr>
            <w:tcW w:w="1890" w:type="dxa"/>
            <w:vMerge w:val="restart"/>
            <w:vAlign w:val="center"/>
          </w:tcPr>
          <w:p>
            <w:pPr>
              <w:autoSpaceDE w:val="0"/>
              <w:autoSpaceDN w:val="0"/>
              <w:spacing w:before="50"/>
              <w:ind w:right="97" w:firstLine="58" w:firstLineChars="28"/>
              <w:jc w:val="center"/>
              <w:rPr>
                <w:rFonts w:ascii="宋体" w:hAnsi="宋体" w:eastAsia="宋体" w:cs="宋体"/>
                <w:szCs w:val="21"/>
              </w:rPr>
            </w:pPr>
            <w:r>
              <w:rPr>
                <w:rFonts w:hint="eastAsia" w:ascii="宋体" w:hAnsi="宋体" w:eastAsia="宋体" w:cs="宋体"/>
                <w:szCs w:val="21"/>
              </w:rPr>
              <w:t>声明函</w:t>
            </w:r>
          </w:p>
        </w:tc>
        <w:tc>
          <w:tcPr>
            <w:tcW w:w="4938" w:type="dxa"/>
            <w:vAlign w:val="center"/>
          </w:tcPr>
          <w:p>
            <w:pPr>
              <w:pStyle w:val="20"/>
              <w:spacing w:beforeAutospacing="0" w:afterAutospacing="0"/>
              <w:rPr>
                <w:rFonts w:ascii="宋体" w:hAnsi="宋体" w:eastAsia="宋体" w:cs="宋体"/>
                <w:sz w:val="21"/>
                <w:szCs w:val="21"/>
              </w:rPr>
            </w:pPr>
            <w:r>
              <w:rPr>
                <w:rFonts w:hint="eastAsia" w:ascii="宋体" w:hAnsi="宋体" w:eastAsia="宋体" w:cs="宋体"/>
                <w:sz w:val="21"/>
                <w:szCs w:val="21"/>
              </w:rPr>
              <w:t>具有履行合同所必需的设备和专业技术能力（提供声明函）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18" w:type="dxa"/>
            <w:vMerge w:val="continue"/>
            <w:vAlign w:val="center"/>
          </w:tcPr>
          <w:p>
            <w:pPr>
              <w:jc w:val="center"/>
              <w:rPr>
                <w:rFonts w:ascii="宋体" w:hAnsi="宋体" w:eastAsia="宋体" w:cs="宋体"/>
                <w:szCs w:val="21"/>
              </w:rPr>
            </w:pPr>
          </w:p>
        </w:tc>
        <w:tc>
          <w:tcPr>
            <w:tcW w:w="855" w:type="dxa"/>
            <w:vMerge w:val="continue"/>
            <w:vAlign w:val="center"/>
          </w:tcPr>
          <w:p>
            <w:pPr>
              <w:jc w:val="center"/>
              <w:rPr>
                <w:rFonts w:ascii="宋体" w:hAnsi="宋体" w:eastAsia="宋体" w:cs="宋体"/>
                <w:szCs w:val="21"/>
              </w:rPr>
            </w:pPr>
          </w:p>
        </w:tc>
        <w:tc>
          <w:tcPr>
            <w:tcW w:w="1875" w:type="dxa"/>
            <w:vMerge w:val="continue"/>
            <w:vAlign w:val="center"/>
          </w:tcPr>
          <w:p>
            <w:pPr>
              <w:jc w:val="center"/>
              <w:rPr>
                <w:rFonts w:ascii="宋体" w:hAnsi="宋体" w:eastAsia="宋体" w:cs="宋体"/>
                <w:szCs w:val="21"/>
              </w:rPr>
            </w:pPr>
          </w:p>
        </w:tc>
        <w:tc>
          <w:tcPr>
            <w:tcW w:w="1890" w:type="dxa"/>
            <w:vMerge w:val="continue"/>
            <w:vAlign w:val="center"/>
          </w:tcPr>
          <w:p>
            <w:pPr>
              <w:autoSpaceDE w:val="0"/>
              <w:autoSpaceDN w:val="0"/>
              <w:spacing w:before="50"/>
              <w:ind w:right="97" w:firstLine="58" w:firstLineChars="28"/>
              <w:jc w:val="center"/>
              <w:rPr>
                <w:rFonts w:ascii="宋体" w:hAnsi="宋体" w:eastAsia="宋体" w:cs="宋体"/>
                <w:szCs w:val="21"/>
              </w:rPr>
            </w:pPr>
          </w:p>
        </w:tc>
        <w:tc>
          <w:tcPr>
            <w:tcW w:w="4938" w:type="dxa"/>
            <w:vAlign w:val="center"/>
          </w:tcPr>
          <w:p>
            <w:pPr>
              <w:pStyle w:val="20"/>
              <w:spacing w:beforeAutospacing="0" w:afterAutospacing="0"/>
              <w:rPr>
                <w:rFonts w:ascii="宋体" w:hAnsi="宋体" w:eastAsia="宋体" w:cs="宋体"/>
                <w:sz w:val="21"/>
                <w:szCs w:val="21"/>
              </w:rPr>
            </w:pPr>
            <w:r>
              <w:rPr>
                <w:rFonts w:hint="eastAsia" w:ascii="宋体" w:hAnsi="宋体" w:eastAsia="宋体" w:cs="宋体"/>
                <w:sz w:val="21"/>
                <w:szCs w:val="21"/>
              </w:rPr>
              <w:t>参加</w:t>
            </w:r>
            <w:r>
              <w:fldChar w:fldCharType="begin"/>
            </w:r>
            <w:r>
              <w:instrText xml:space="preserve"> HYPERLINK "http://www.so.com/s?q=%E6%94%BF%E5%BA%9C%E9%87%87%E8%B4%AD&amp;ie=utf-8&amp;src=internal_wenda_recommend_text" \t "http://wenda.so.com/q/_blank" </w:instrText>
            </w:r>
            <w:r>
              <w:fldChar w:fldCharType="separate"/>
            </w:r>
            <w:r>
              <w:rPr>
                <w:rFonts w:hint="eastAsia" w:ascii="宋体" w:hAnsi="宋体" w:eastAsia="宋体" w:cs="宋体"/>
                <w:sz w:val="21"/>
                <w:szCs w:val="21"/>
              </w:rPr>
              <w:t>政府采购</w:t>
            </w:r>
            <w:r>
              <w:rPr>
                <w:rFonts w:hint="eastAsia" w:ascii="宋体" w:hAnsi="宋体" w:eastAsia="宋体" w:cs="宋体"/>
                <w:sz w:val="21"/>
                <w:szCs w:val="21"/>
              </w:rPr>
              <w:fldChar w:fldCharType="end"/>
            </w:r>
            <w:r>
              <w:rPr>
                <w:rFonts w:hint="eastAsia" w:ascii="宋体" w:hAnsi="宋体" w:eastAsia="宋体" w:cs="宋体"/>
                <w:sz w:val="21"/>
                <w:szCs w:val="21"/>
              </w:rPr>
              <w:t>活动前三年内，在经营活动中没有重大违法记录（提供声明函）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518" w:type="dxa"/>
            <w:vMerge w:val="continue"/>
            <w:vAlign w:val="center"/>
          </w:tcPr>
          <w:p>
            <w:pPr>
              <w:jc w:val="center"/>
              <w:rPr>
                <w:rFonts w:ascii="宋体" w:hAnsi="宋体" w:eastAsia="宋体" w:cs="宋体"/>
                <w:szCs w:val="21"/>
              </w:rPr>
            </w:pPr>
          </w:p>
        </w:tc>
        <w:tc>
          <w:tcPr>
            <w:tcW w:w="855" w:type="dxa"/>
            <w:vMerge w:val="continue"/>
            <w:vAlign w:val="center"/>
          </w:tcPr>
          <w:p>
            <w:pPr>
              <w:jc w:val="center"/>
              <w:rPr>
                <w:rFonts w:ascii="宋体" w:hAnsi="宋体" w:eastAsia="宋体" w:cs="宋体"/>
                <w:szCs w:val="21"/>
              </w:rPr>
            </w:pPr>
          </w:p>
        </w:tc>
        <w:tc>
          <w:tcPr>
            <w:tcW w:w="1875" w:type="dxa"/>
            <w:vMerge w:val="continue"/>
            <w:vAlign w:val="center"/>
          </w:tcPr>
          <w:p>
            <w:pPr>
              <w:jc w:val="center"/>
              <w:rPr>
                <w:rFonts w:ascii="宋体" w:hAnsi="宋体" w:eastAsia="宋体" w:cs="宋体"/>
                <w:szCs w:val="21"/>
              </w:rPr>
            </w:pPr>
          </w:p>
        </w:tc>
        <w:tc>
          <w:tcPr>
            <w:tcW w:w="1890" w:type="dxa"/>
            <w:vAlign w:val="center"/>
          </w:tcPr>
          <w:p>
            <w:pPr>
              <w:autoSpaceDE w:val="0"/>
              <w:autoSpaceDN w:val="0"/>
              <w:spacing w:before="50"/>
              <w:ind w:right="97" w:firstLine="59" w:firstLineChars="28"/>
              <w:jc w:val="center"/>
              <w:rPr>
                <w:rFonts w:ascii="宋体" w:hAnsi="宋体" w:eastAsia="宋体" w:cs="宋体"/>
                <w:spacing w:val="-6"/>
                <w:szCs w:val="21"/>
              </w:rPr>
            </w:pPr>
            <w:r>
              <w:rPr>
                <w:rFonts w:hint="eastAsia" w:ascii="宋体" w:hAnsi="宋体" w:eastAsia="宋体" w:cs="宋体"/>
                <w:spacing w:val="1"/>
                <w:szCs w:val="21"/>
              </w:rPr>
              <w:t>信用查询</w:t>
            </w:r>
          </w:p>
        </w:tc>
        <w:tc>
          <w:tcPr>
            <w:tcW w:w="4938" w:type="dxa"/>
            <w:vAlign w:val="center"/>
          </w:tcPr>
          <w:p>
            <w:pPr>
              <w:pStyle w:val="20"/>
              <w:spacing w:beforeAutospacing="0" w:afterAutospacing="0"/>
              <w:rPr>
                <w:rFonts w:ascii="宋体" w:hAnsi="宋体" w:eastAsia="宋体" w:cs="宋体"/>
                <w:sz w:val="21"/>
                <w:szCs w:val="21"/>
              </w:rPr>
            </w:pPr>
            <w:r>
              <w:rPr>
                <w:rFonts w:hint="eastAsia" w:ascii="宋体" w:hAnsi="宋体" w:eastAsia="宋体" w:cs="宋体"/>
                <w:sz w:val="21"/>
                <w:szCs w:val="21"/>
              </w:rPr>
              <w:t>通过“信用中国”网站(www.creditchina.gov.cn)查询“失信被执行人”和“重大税收违法失信主体”、中国政府采购网(www.ccgp.gov.cn)查询“政府采购严重违法失信行为记录名单”渠道查询自身信用记录，并提供以上查询截图（须附在投标文件中）</w:t>
            </w:r>
          </w:p>
          <w:p>
            <w:pPr>
              <w:rPr>
                <w:rFonts w:ascii="宋体" w:hAnsi="宋体" w:eastAsia="宋体" w:cs="宋体"/>
              </w:rPr>
            </w:pPr>
            <w:r>
              <w:rPr>
                <w:rFonts w:hint="eastAsia" w:ascii="宋体" w:hAnsi="宋体" w:eastAsia="宋体" w:cs="宋体"/>
                <w:bCs/>
                <w:kern w:val="0"/>
                <w:szCs w:val="21"/>
              </w:rPr>
              <w:t>注：</w:t>
            </w:r>
            <w:r>
              <w:rPr>
                <w:rFonts w:hint="eastAsia" w:ascii="宋体" w:hAnsi="宋体" w:eastAsia="宋体" w:cs="宋体"/>
                <w:kern w:val="0"/>
                <w:szCs w:val="21"/>
              </w:rPr>
              <w:t>因网站关联，信用中国</w:t>
            </w:r>
            <w:r>
              <w:rPr>
                <w:rFonts w:hint="eastAsia" w:ascii="宋体" w:hAnsi="宋体" w:eastAsia="宋体" w:cs="宋体"/>
                <w:szCs w:val="21"/>
              </w:rPr>
              <w:t>网站</w:t>
            </w:r>
            <w:r>
              <w:rPr>
                <w:rFonts w:hint="eastAsia" w:ascii="宋体" w:hAnsi="宋体" w:eastAsia="宋体" w:cs="宋体"/>
                <w:kern w:val="0"/>
                <w:szCs w:val="21"/>
              </w:rPr>
              <w:t>“失信被执行人”查询会自动跳转至中国执行信息公开网，该网站查询截图视为有效。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8" w:type="dxa"/>
            <w:vMerge w:val="continue"/>
            <w:vAlign w:val="center"/>
          </w:tcPr>
          <w:p>
            <w:pPr>
              <w:rPr>
                <w:rFonts w:ascii="宋体" w:hAnsi="宋体" w:eastAsia="宋体" w:cs="宋体"/>
                <w:szCs w:val="21"/>
              </w:rPr>
            </w:pPr>
          </w:p>
        </w:tc>
        <w:tc>
          <w:tcPr>
            <w:tcW w:w="855" w:type="dxa"/>
            <w:vMerge w:val="restart"/>
            <w:vAlign w:val="center"/>
          </w:tcPr>
          <w:p>
            <w:pPr>
              <w:rPr>
                <w:rFonts w:ascii="宋体" w:hAnsi="宋体" w:eastAsia="宋体" w:cs="宋体"/>
                <w:szCs w:val="21"/>
              </w:rPr>
            </w:pPr>
            <w:r>
              <w:rPr>
                <w:rFonts w:hint="eastAsia" w:ascii="宋体" w:hAnsi="宋体" w:eastAsia="宋体" w:cs="宋体"/>
                <w:szCs w:val="21"/>
              </w:rPr>
              <w:t>2.1.2</w:t>
            </w:r>
          </w:p>
        </w:tc>
        <w:tc>
          <w:tcPr>
            <w:tcW w:w="1875" w:type="dxa"/>
            <w:vMerge w:val="restart"/>
            <w:vAlign w:val="center"/>
          </w:tcPr>
          <w:p>
            <w:pPr>
              <w:rPr>
                <w:rFonts w:ascii="宋体" w:hAnsi="宋体" w:eastAsia="宋体" w:cs="宋体"/>
                <w:szCs w:val="21"/>
              </w:rPr>
            </w:pPr>
            <w:r>
              <w:rPr>
                <w:rFonts w:hint="eastAsia" w:ascii="宋体" w:hAnsi="宋体" w:eastAsia="宋体" w:cs="宋体"/>
                <w:szCs w:val="21"/>
              </w:rPr>
              <w:t>符合性审查</w:t>
            </w:r>
          </w:p>
        </w:tc>
        <w:tc>
          <w:tcPr>
            <w:tcW w:w="1890" w:type="dxa"/>
            <w:vAlign w:val="center"/>
          </w:tcPr>
          <w:p>
            <w:pPr>
              <w:jc w:val="center"/>
              <w:rPr>
                <w:rFonts w:ascii="宋体" w:hAnsi="宋体" w:eastAsia="宋体" w:cs="宋体"/>
                <w:szCs w:val="21"/>
              </w:rPr>
            </w:pPr>
            <w:r>
              <w:rPr>
                <w:rFonts w:hint="eastAsia" w:ascii="宋体" w:hAnsi="宋体" w:eastAsia="宋体" w:cs="宋体"/>
                <w:szCs w:val="21"/>
              </w:rPr>
              <w:t>投标人名称</w:t>
            </w:r>
          </w:p>
        </w:tc>
        <w:tc>
          <w:tcPr>
            <w:tcW w:w="4938" w:type="dxa"/>
            <w:vAlign w:val="center"/>
          </w:tcPr>
          <w:p>
            <w:pPr>
              <w:rPr>
                <w:rFonts w:ascii="宋体" w:hAnsi="宋体" w:eastAsia="宋体" w:cs="宋体"/>
                <w:szCs w:val="21"/>
              </w:rPr>
            </w:pPr>
            <w:r>
              <w:rPr>
                <w:rFonts w:hint="eastAsia" w:ascii="宋体" w:hAnsi="宋体" w:eastAsia="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8" w:type="dxa"/>
            <w:vMerge w:val="continue"/>
            <w:vAlign w:val="center"/>
          </w:tcPr>
          <w:p>
            <w:pPr>
              <w:rPr>
                <w:rFonts w:ascii="宋体" w:hAnsi="宋体" w:eastAsia="宋体" w:cs="宋体"/>
                <w:szCs w:val="21"/>
              </w:rPr>
            </w:pPr>
          </w:p>
        </w:tc>
        <w:tc>
          <w:tcPr>
            <w:tcW w:w="855" w:type="dxa"/>
            <w:vMerge w:val="continue"/>
            <w:vAlign w:val="center"/>
          </w:tcPr>
          <w:p>
            <w:pPr>
              <w:rPr>
                <w:rFonts w:ascii="宋体" w:hAnsi="宋体" w:eastAsia="宋体" w:cs="宋体"/>
                <w:szCs w:val="21"/>
              </w:rPr>
            </w:pPr>
          </w:p>
        </w:tc>
        <w:tc>
          <w:tcPr>
            <w:tcW w:w="1875" w:type="dxa"/>
            <w:vMerge w:val="continue"/>
            <w:vAlign w:val="center"/>
          </w:tcPr>
          <w:p>
            <w:pPr>
              <w:rPr>
                <w:rFonts w:ascii="宋体" w:hAnsi="宋体" w:eastAsia="宋体" w:cs="宋体"/>
                <w:szCs w:val="21"/>
              </w:rPr>
            </w:pPr>
          </w:p>
        </w:tc>
        <w:tc>
          <w:tcPr>
            <w:tcW w:w="1890" w:type="dxa"/>
            <w:vAlign w:val="center"/>
          </w:tcPr>
          <w:p>
            <w:pPr>
              <w:jc w:val="center"/>
              <w:rPr>
                <w:rFonts w:ascii="宋体" w:hAnsi="宋体" w:eastAsia="宋体" w:cs="宋体"/>
                <w:szCs w:val="21"/>
              </w:rPr>
            </w:pPr>
            <w:r>
              <w:rPr>
                <w:rFonts w:hint="eastAsia" w:ascii="宋体" w:hAnsi="宋体" w:eastAsia="宋体" w:cs="宋体"/>
                <w:szCs w:val="21"/>
              </w:rPr>
              <w:t>投标函签字盖章</w:t>
            </w:r>
          </w:p>
        </w:tc>
        <w:tc>
          <w:tcPr>
            <w:tcW w:w="4938" w:type="dxa"/>
            <w:vAlign w:val="center"/>
          </w:tcPr>
          <w:p>
            <w:pPr>
              <w:rPr>
                <w:rFonts w:ascii="宋体" w:hAnsi="宋体" w:eastAsia="宋体" w:cs="宋体"/>
                <w:szCs w:val="21"/>
              </w:rPr>
            </w:pPr>
            <w:r>
              <w:rPr>
                <w:rFonts w:hint="eastAsia" w:ascii="宋体" w:hAnsi="宋体" w:eastAsia="宋体" w:cs="宋体"/>
                <w:szCs w:val="21"/>
              </w:rPr>
              <w:t>有法定代表人电子签章和企业电子签章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18" w:type="dxa"/>
            <w:vMerge w:val="continue"/>
            <w:vAlign w:val="center"/>
          </w:tcPr>
          <w:p>
            <w:pPr>
              <w:rPr>
                <w:rFonts w:ascii="宋体" w:hAnsi="宋体" w:eastAsia="宋体" w:cs="宋体"/>
                <w:szCs w:val="21"/>
              </w:rPr>
            </w:pPr>
          </w:p>
        </w:tc>
        <w:tc>
          <w:tcPr>
            <w:tcW w:w="855" w:type="dxa"/>
            <w:vMerge w:val="continue"/>
            <w:vAlign w:val="center"/>
          </w:tcPr>
          <w:p>
            <w:pPr>
              <w:rPr>
                <w:rFonts w:ascii="宋体" w:hAnsi="宋体" w:eastAsia="宋体" w:cs="宋体"/>
                <w:szCs w:val="21"/>
              </w:rPr>
            </w:pPr>
          </w:p>
        </w:tc>
        <w:tc>
          <w:tcPr>
            <w:tcW w:w="1875" w:type="dxa"/>
            <w:vMerge w:val="continue"/>
            <w:vAlign w:val="center"/>
          </w:tcPr>
          <w:p>
            <w:pPr>
              <w:rPr>
                <w:rFonts w:ascii="宋体" w:hAnsi="宋体" w:eastAsia="宋体" w:cs="宋体"/>
                <w:szCs w:val="21"/>
              </w:rPr>
            </w:pPr>
          </w:p>
        </w:tc>
        <w:tc>
          <w:tcPr>
            <w:tcW w:w="1890" w:type="dxa"/>
            <w:vAlign w:val="center"/>
          </w:tcPr>
          <w:p>
            <w:pPr>
              <w:jc w:val="center"/>
              <w:rPr>
                <w:rFonts w:ascii="宋体" w:hAnsi="宋体" w:eastAsia="宋体" w:cs="宋体"/>
                <w:szCs w:val="21"/>
              </w:rPr>
            </w:pPr>
            <w:r>
              <w:rPr>
                <w:rFonts w:hint="eastAsia" w:ascii="宋体" w:hAnsi="宋体" w:eastAsia="宋体" w:cs="宋体"/>
                <w:szCs w:val="21"/>
              </w:rPr>
              <w:t>投标文件格式</w:t>
            </w:r>
          </w:p>
        </w:tc>
        <w:tc>
          <w:tcPr>
            <w:tcW w:w="4938" w:type="dxa"/>
            <w:vAlign w:val="center"/>
          </w:tcPr>
          <w:p>
            <w:pPr>
              <w:rPr>
                <w:rFonts w:ascii="宋体" w:hAnsi="宋体" w:eastAsia="宋体" w:cs="宋体"/>
                <w:szCs w:val="21"/>
              </w:rPr>
            </w:pPr>
            <w:r>
              <w:rPr>
                <w:rFonts w:hint="eastAsia" w:ascii="宋体" w:hAnsi="宋体" w:eastAsia="宋体" w:cs="宋体"/>
                <w:szCs w:val="21"/>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8" w:type="dxa"/>
            <w:vMerge w:val="continue"/>
            <w:vAlign w:val="center"/>
          </w:tcPr>
          <w:p>
            <w:pPr>
              <w:rPr>
                <w:rFonts w:ascii="宋体" w:hAnsi="宋体" w:eastAsia="宋体" w:cs="宋体"/>
                <w:szCs w:val="21"/>
              </w:rPr>
            </w:pPr>
          </w:p>
        </w:tc>
        <w:tc>
          <w:tcPr>
            <w:tcW w:w="855" w:type="dxa"/>
            <w:vMerge w:val="continue"/>
            <w:vAlign w:val="center"/>
          </w:tcPr>
          <w:p>
            <w:pPr>
              <w:rPr>
                <w:rFonts w:ascii="宋体" w:hAnsi="宋体" w:eastAsia="宋体" w:cs="宋体"/>
                <w:szCs w:val="21"/>
              </w:rPr>
            </w:pPr>
          </w:p>
        </w:tc>
        <w:tc>
          <w:tcPr>
            <w:tcW w:w="1875" w:type="dxa"/>
            <w:vMerge w:val="continue"/>
            <w:vAlign w:val="center"/>
          </w:tcPr>
          <w:p>
            <w:pPr>
              <w:rPr>
                <w:rFonts w:ascii="宋体" w:hAnsi="宋体" w:eastAsia="宋体" w:cs="宋体"/>
                <w:szCs w:val="21"/>
              </w:rPr>
            </w:pPr>
          </w:p>
        </w:tc>
        <w:tc>
          <w:tcPr>
            <w:tcW w:w="1890" w:type="dxa"/>
            <w:vAlign w:val="center"/>
          </w:tcPr>
          <w:p>
            <w:pPr>
              <w:jc w:val="center"/>
              <w:rPr>
                <w:rFonts w:ascii="宋体" w:hAnsi="宋体" w:eastAsia="宋体" w:cs="宋体"/>
                <w:szCs w:val="21"/>
              </w:rPr>
            </w:pPr>
            <w:r>
              <w:rPr>
                <w:rFonts w:hint="eastAsia" w:ascii="宋体" w:hAnsi="宋体" w:eastAsia="宋体" w:cs="宋体"/>
                <w:szCs w:val="21"/>
              </w:rPr>
              <w:t>服务内容</w:t>
            </w:r>
          </w:p>
        </w:tc>
        <w:tc>
          <w:tcPr>
            <w:tcW w:w="4938" w:type="dxa"/>
            <w:vAlign w:val="center"/>
          </w:tcPr>
          <w:p>
            <w:pPr>
              <w:rPr>
                <w:rFonts w:ascii="宋体" w:hAnsi="宋体" w:eastAsia="宋体" w:cs="宋体"/>
                <w:szCs w:val="21"/>
              </w:rPr>
            </w:pPr>
            <w:r>
              <w:rPr>
                <w:rFonts w:hint="eastAsia" w:ascii="宋体" w:hAnsi="宋体" w:eastAsia="宋体" w:cs="宋体"/>
                <w:szCs w:val="21"/>
              </w:rPr>
              <w:t>开封市</w:t>
            </w:r>
            <w:r>
              <w:rPr>
                <w:rFonts w:hint="eastAsia" w:ascii="宋体" w:hAnsi="宋体" w:eastAsia="宋体" w:cs="宋体"/>
                <w:szCs w:val="21"/>
                <w:lang w:val="en-US" w:eastAsia="zh-CN"/>
              </w:rPr>
              <w:t>祥符区</w:t>
            </w:r>
            <w:r>
              <w:rPr>
                <w:rFonts w:hint="eastAsia" w:ascii="宋体" w:hAnsi="宋体" w:eastAsia="宋体" w:cs="宋体"/>
                <w:szCs w:val="21"/>
              </w:rPr>
              <w:t>新建商品房预售资金监管业务的服务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18" w:type="dxa"/>
            <w:vMerge w:val="continue"/>
            <w:vAlign w:val="center"/>
          </w:tcPr>
          <w:p>
            <w:pPr>
              <w:rPr>
                <w:rFonts w:ascii="宋体" w:hAnsi="宋体" w:eastAsia="宋体" w:cs="宋体"/>
                <w:szCs w:val="21"/>
              </w:rPr>
            </w:pPr>
          </w:p>
        </w:tc>
        <w:tc>
          <w:tcPr>
            <w:tcW w:w="855" w:type="dxa"/>
            <w:vMerge w:val="continue"/>
            <w:vAlign w:val="center"/>
          </w:tcPr>
          <w:p>
            <w:pPr>
              <w:rPr>
                <w:rFonts w:ascii="宋体" w:hAnsi="宋体" w:eastAsia="宋体" w:cs="宋体"/>
                <w:szCs w:val="21"/>
              </w:rPr>
            </w:pPr>
          </w:p>
        </w:tc>
        <w:tc>
          <w:tcPr>
            <w:tcW w:w="1875" w:type="dxa"/>
            <w:vMerge w:val="continue"/>
            <w:vAlign w:val="center"/>
          </w:tcPr>
          <w:p>
            <w:pPr>
              <w:rPr>
                <w:rFonts w:ascii="宋体" w:hAnsi="宋体" w:eastAsia="宋体" w:cs="宋体"/>
                <w:szCs w:val="21"/>
              </w:rPr>
            </w:pPr>
          </w:p>
        </w:tc>
        <w:tc>
          <w:tcPr>
            <w:tcW w:w="1890" w:type="dxa"/>
            <w:vAlign w:val="center"/>
          </w:tcPr>
          <w:p>
            <w:pPr>
              <w:jc w:val="center"/>
              <w:rPr>
                <w:rFonts w:ascii="宋体" w:hAnsi="宋体" w:eastAsia="宋体" w:cs="宋体"/>
                <w:szCs w:val="21"/>
              </w:rPr>
            </w:pPr>
            <w:r>
              <w:rPr>
                <w:rFonts w:hint="eastAsia" w:ascii="宋体" w:hAnsi="宋体" w:eastAsia="宋体" w:cs="宋体"/>
                <w:szCs w:val="21"/>
              </w:rPr>
              <w:t>投标有效期</w:t>
            </w:r>
          </w:p>
        </w:tc>
        <w:tc>
          <w:tcPr>
            <w:tcW w:w="4938" w:type="dxa"/>
            <w:vAlign w:val="center"/>
          </w:tcPr>
          <w:p>
            <w:pPr>
              <w:tabs>
                <w:tab w:val="left" w:pos="4516"/>
              </w:tabs>
              <w:rPr>
                <w:rFonts w:ascii="宋体" w:hAnsi="宋体" w:eastAsia="宋体" w:cs="宋体"/>
                <w:szCs w:val="21"/>
              </w:rPr>
            </w:pPr>
            <w:r>
              <w:rPr>
                <w:rFonts w:hint="eastAsia" w:ascii="宋体" w:hAnsi="宋体" w:eastAsia="宋体" w:cs="宋体"/>
                <w:szCs w:val="21"/>
              </w:rPr>
              <w:t>投标截止时间起90日历天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8" w:type="dxa"/>
            <w:vMerge w:val="continue"/>
          </w:tcPr>
          <w:p>
            <w:pPr>
              <w:rPr>
                <w:rFonts w:ascii="宋体" w:hAnsi="宋体" w:eastAsia="宋体" w:cs="宋体"/>
                <w:szCs w:val="21"/>
              </w:rPr>
            </w:pPr>
          </w:p>
        </w:tc>
        <w:tc>
          <w:tcPr>
            <w:tcW w:w="855" w:type="dxa"/>
            <w:vMerge w:val="continue"/>
          </w:tcPr>
          <w:p>
            <w:pPr>
              <w:rPr>
                <w:rFonts w:ascii="宋体" w:hAnsi="宋体" w:eastAsia="宋体" w:cs="宋体"/>
                <w:szCs w:val="21"/>
              </w:rPr>
            </w:pPr>
          </w:p>
        </w:tc>
        <w:tc>
          <w:tcPr>
            <w:tcW w:w="1875" w:type="dxa"/>
            <w:vMerge w:val="continue"/>
          </w:tcPr>
          <w:p>
            <w:pPr>
              <w:rPr>
                <w:rFonts w:ascii="宋体" w:hAnsi="宋体" w:eastAsia="宋体" w:cs="宋体"/>
                <w:szCs w:val="21"/>
              </w:rPr>
            </w:pPr>
          </w:p>
        </w:tc>
        <w:tc>
          <w:tcPr>
            <w:tcW w:w="1890" w:type="dxa"/>
            <w:vAlign w:val="center"/>
          </w:tcPr>
          <w:p>
            <w:pPr>
              <w:jc w:val="center"/>
              <w:rPr>
                <w:rFonts w:ascii="宋体" w:hAnsi="宋体" w:eastAsia="宋体" w:cs="宋体"/>
                <w:szCs w:val="21"/>
              </w:rPr>
            </w:pPr>
            <w:r>
              <w:rPr>
                <w:rFonts w:hint="eastAsia" w:ascii="宋体" w:hAnsi="宋体" w:eastAsia="宋体" w:cs="宋体"/>
                <w:szCs w:val="21"/>
              </w:rPr>
              <w:t>质量要求</w:t>
            </w:r>
          </w:p>
        </w:tc>
        <w:tc>
          <w:tcPr>
            <w:tcW w:w="4938" w:type="dxa"/>
            <w:vAlign w:val="center"/>
          </w:tcPr>
          <w:p>
            <w:pPr>
              <w:rPr>
                <w:rFonts w:ascii="宋体" w:hAnsi="宋体" w:eastAsia="宋体" w:cs="宋体"/>
                <w:szCs w:val="21"/>
              </w:rPr>
            </w:pPr>
            <w:r>
              <w:rPr>
                <w:rFonts w:hint="eastAsia" w:ascii="宋体" w:hAnsi="宋体" w:eastAsia="宋体" w:cs="宋体"/>
                <w:szCs w:val="21"/>
              </w:rPr>
              <w:t>符合国家现行标准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8" w:type="dxa"/>
            <w:vMerge w:val="continue"/>
          </w:tcPr>
          <w:p>
            <w:pPr>
              <w:rPr>
                <w:rFonts w:ascii="宋体" w:hAnsi="宋体" w:eastAsia="宋体" w:cs="宋体"/>
                <w:szCs w:val="21"/>
              </w:rPr>
            </w:pPr>
          </w:p>
        </w:tc>
        <w:tc>
          <w:tcPr>
            <w:tcW w:w="855" w:type="dxa"/>
            <w:vMerge w:val="continue"/>
          </w:tcPr>
          <w:p>
            <w:pPr>
              <w:rPr>
                <w:rFonts w:ascii="宋体" w:hAnsi="宋体" w:eastAsia="宋体" w:cs="宋体"/>
                <w:szCs w:val="21"/>
              </w:rPr>
            </w:pPr>
          </w:p>
        </w:tc>
        <w:tc>
          <w:tcPr>
            <w:tcW w:w="1875" w:type="dxa"/>
            <w:vMerge w:val="continue"/>
          </w:tcPr>
          <w:p>
            <w:pPr>
              <w:rPr>
                <w:rFonts w:ascii="宋体" w:hAnsi="宋体" w:eastAsia="宋体" w:cs="宋体"/>
                <w:szCs w:val="21"/>
              </w:rPr>
            </w:pPr>
          </w:p>
        </w:tc>
        <w:tc>
          <w:tcPr>
            <w:tcW w:w="1890"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服务期限</w:t>
            </w:r>
          </w:p>
        </w:tc>
        <w:tc>
          <w:tcPr>
            <w:tcW w:w="4938" w:type="dxa"/>
            <w:vAlign w:val="center"/>
          </w:tcPr>
          <w:p>
            <w:pPr>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w:t>
            </w:r>
            <w:r>
              <w:rPr>
                <w:rFonts w:hint="eastAsia" w:ascii="宋体" w:hAnsi="宋体" w:eastAsia="宋体" w:cs="宋体"/>
                <w:szCs w:val="21"/>
              </w:rPr>
              <w:t>（如国家和上级政策有变化的，应遵照政策要求执行；如无政策调整，服务期满后，银行无违规行为的按照每一个年度依次顺延；出现违规行为且整改不力的，解除协议，自动终止银行新建商品房预售资金监管业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8" w:type="dxa"/>
            <w:vMerge w:val="continue"/>
          </w:tcPr>
          <w:p>
            <w:pPr>
              <w:rPr>
                <w:rFonts w:ascii="宋体" w:hAnsi="宋体" w:eastAsia="宋体" w:cs="宋体"/>
                <w:szCs w:val="21"/>
              </w:rPr>
            </w:pPr>
          </w:p>
        </w:tc>
        <w:tc>
          <w:tcPr>
            <w:tcW w:w="855" w:type="dxa"/>
            <w:vMerge w:val="continue"/>
          </w:tcPr>
          <w:p>
            <w:pPr>
              <w:rPr>
                <w:rFonts w:ascii="宋体" w:hAnsi="宋体" w:eastAsia="宋体" w:cs="宋体"/>
                <w:szCs w:val="21"/>
              </w:rPr>
            </w:pPr>
          </w:p>
        </w:tc>
        <w:tc>
          <w:tcPr>
            <w:tcW w:w="1875" w:type="dxa"/>
            <w:vMerge w:val="continue"/>
          </w:tcPr>
          <w:p>
            <w:pPr>
              <w:rPr>
                <w:rFonts w:ascii="宋体" w:hAnsi="宋体" w:eastAsia="宋体" w:cs="宋体"/>
                <w:szCs w:val="21"/>
              </w:rPr>
            </w:pPr>
          </w:p>
        </w:tc>
        <w:tc>
          <w:tcPr>
            <w:tcW w:w="1890" w:type="dxa"/>
            <w:vAlign w:val="center"/>
          </w:tcPr>
          <w:p>
            <w:pPr>
              <w:jc w:val="center"/>
              <w:rPr>
                <w:rFonts w:ascii="宋体" w:hAnsi="宋体" w:eastAsia="宋体" w:cs="宋体"/>
                <w:szCs w:val="21"/>
              </w:rPr>
            </w:pPr>
            <w:r>
              <w:rPr>
                <w:rFonts w:hint="eastAsia" w:ascii="宋体" w:hAnsi="宋体" w:eastAsia="宋体" w:cs="宋体"/>
                <w:szCs w:val="21"/>
              </w:rPr>
              <w:t>服务范围</w:t>
            </w:r>
          </w:p>
        </w:tc>
        <w:tc>
          <w:tcPr>
            <w:tcW w:w="4938" w:type="dxa"/>
            <w:vAlign w:val="center"/>
          </w:tcPr>
          <w:p>
            <w:pPr>
              <w:rPr>
                <w:rFonts w:ascii="宋体" w:hAnsi="宋体" w:eastAsia="宋体" w:cs="宋体"/>
                <w:szCs w:val="21"/>
              </w:rPr>
            </w:pPr>
            <w:r>
              <w:rPr>
                <w:rFonts w:hint="eastAsia" w:ascii="宋体" w:hAnsi="宋体" w:eastAsia="宋体" w:cs="宋体"/>
                <w:szCs w:val="21"/>
              </w:rPr>
              <w:t>开封市</w:t>
            </w:r>
            <w:r>
              <w:rPr>
                <w:rFonts w:hint="eastAsia" w:ascii="宋体" w:hAnsi="宋体" w:eastAsia="宋体" w:cs="宋体"/>
                <w:szCs w:val="21"/>
                <w:lang w:val="en-US" w:eastAsia="zh-CN"/>
              </w:rPr>
              <w:t>祥符区</w:t>
            </w:r>
            <w:r>
              <w:rPr>
                <w:rFonts w:hint="eastAsia" w:ascii="宋体" w:hAnsi="宋体" w:eastAsia="宋体" w:cs="宋体"/>
                <w:szCs w:val="21"/>
              </w:rPr>
              <w:t>境内</w:t>
            </w:r>
          </w:p>
        </w:tc>
      </w:tr>
    </w:tbl>
    <w:p>
      <w:pPr>
        <w:pStyle w:val="33"/>
        <w:spacing w:line="360" w:lineRule="auto"/>
        <w:rPr>
          <w:rFonts w:ascii="宋体" w:hAnsi="宋体" w:eastAsia="宋体" w:cs="宋体"/>
          <w:b/>
          <w:bCs/>
          <w:sz w:val="21"/>
          <w:szCs w:val="21"/>
        </w:rPr>
      </w:pPr>
      <w:r>
        <w:rPr>
          <w:rFonts w:hint="eastAsia" w:ascii="宋体" w:hAnsi="宋体" w:eastAsia="宋体" w:cs="宋体"/>
          <w:b/>
          <w:bCs/>
          <w:sz w:val="21"/>
          <w:szCs w:val="21"/>
        </w:rPr>
        <w:t>注：所有投标人通过资格、符合性审查后，将进入综合评分项目评审。</w:t>
      </w:r>
    </w:p>
    <w:p>
      <w:pPr>
        <w:spacing w:line="360" w:lineRule="auto"/>
        <w:rPr>
          <w:rFonts w:ascii="宋体" w:hAnsi="宋体" w:eastAsia="宋体" w:cs="宋体"/>
          <w:b/>
          <w:bCs/>
          <w:sz w:val="24"/>
        </w:rPr>
      </w:pPr>
      <w:bookmarkStart w:id="141" w:name="_Toc21877"/>
      <w:bookmarkStart w:id="142" w:name="_Toc8877"/>
      <w:bookmarkStart w:id="143" w:name="_Toc498087659"/>
      <w:bookmarkStart w:id="144" w:name="_Toc5926"/>
      <w:bookmarkStart w:id="145" w:name="_Toc24166"/>
      <w:bookmarkStart w:id="146" w:name="_Toc9228"/>
      <w:bookmarkStart w:id="147" w:name="_Toc517275174"/>
      <w:bookmarkStart w:id="148" w:name="_Toc26137"/>
      <w:r>
        <w:rPr>
          <w:rFonts w:hint="eastAsia" w:ascii="宋体" w:hAnsi="宋体" w:eastAsia="宋体" w:cs="宋体"/>
          <w:b/>
          <w:bCs/>
          <w:sz w:val="24"/>
        </w:rPr>
        <w:t>2.2综合评分程序</w:t>
      </w:r>
      <w:bookmarkEnd w:id="141"/>
      <w:bookmarkEnd w:id="142"/>
      <w:bookmarkEnd w:id="143"/>
      <w:bookmarkEnd w:id="144"/>
      <w:bookmarkEnd w:id="145"/>
    </w:p>
    <w:p>
      <w:pPr>
        <w:spacing w:line="360" w:lineRule="auto"/>
        <w:ind w:firstLine="110" w:firstLineChars="50"/>
        <w:rPr>
          <w:rFonts w:ascii="宋体" w:hAnsi="宋体" w:eastAsia="宋体" w:cs="宋体"/>
          <w:b/>
          <w:sz w:val="22"/>
          <w:szCs w:val="22"/>
        </w:rPr>
      </w:pPr>
      <w:bookmarkStart w:id="149" w:name="_Toc3811"/>
      <w:bookmarkStart w:id="150" w:name="_Toc17647"/>
      <w:bookmarkStart w:id="151" w:name="_Toc2448"/>
      <w:bookmarkStart w:id="152" w:name="_Toc30621"/>
      <w:r>
        <w:rPr>
          <w:rFonts w:hint="eastAsia" w:ascii="宋体" w:hAnsi="宋体" w:eastAsia="宋体" w:cs="宋体"/>
          <w:b/>
          <w:sz w:val="22"/>
          <w:szCs w:val="22"/>
        </w:rPr>
        <w:t>2.2.1分值构成（100分）</w:t>
      </w:r>
      <w:bookmarkEnd w:id="149"/>
      <w:bookmarkEnd w:id="150"/>
      <w:bookmarkEnd w:id="151"/>
      <w:bookmarkEnd w:id="152"/>
    </w:p>
    <w:p>
      <w:pPr>
        <w:spacing w:line="360" w:lineRule="auto"/>
        <w:ind w:firstLine="110" w:firstLineChars="50"/>
        <w:rPr>
          <w:rFonts w:ascii="宋体" w:hAnsi="宋体" w:eastAsia="宋体" w:cs="宋体"/>
          <w:b/>
          <w:sz w:val="22"/>
          <w:szCs w:val="22"/>
        </w:rPr>
      </w:pPr>
      <w:bookmarkStart w:id="153" w:name="_Toc27459"/>
      <w:bookmarkStart w:id="154" w:name="_Toc8167"/>
      <w:bookmarkStart w:id="155" w:name="_Toc957"/>
      <w:bookmarkStart w:id="156" w:name="_Toc21662"/>
      <w:r>
        <w:rPr>
          <w:rFonts w:hint="eastAsia" w:ascii="宋体" w:hAnsi="宋体" w:eastAsia="宋体" w:cs="宋体"/>
          <w:b/>
          <w:sz w:val="22"/>
          <w:szCs w:val="22"/>
        </w:rPr>
        <w:t>2.2.2</w:t>
      </w:r>
      <w:bookmarkEnd w:id="146"/>
      <w:bookmarkEnd w:id="147"/>
      <w:bookmarkEnd w:id="148"/>
      <w:r>
        <w:rPr>
          <w:rFonts w:hint="eastAsia" w:ascii="宋体" w:hAnsi="宋体" w:eastAsia="宋体" w:cs="宋体"/>
          <w:b/>
          <w:sz w:val="22"/>
          <w:szCs w:val="22"/>
        </w:rPr>
        <w:t>技术评分标准：56分</w:t>
      </w:r>
    </w:p>
    <w:p>
      <w:pPr>
        <w:spacing w:line="360" w:lineRule="auto"/>
        <w:ind w:firstLine="110" w:firstLineChars="50"/>
        <w:rPr>
          <w:rFonts w:ascii="宋体" w:hAnsi="宋体" w:eastAsia="宋体" w:cs="宋体"/>
          <w:b/>
          <w:sz w:val="22"/>
          <w:szCs w:val="22"/>
        </w:rPr>
      </w:pPr>
      <w:r>
        <w:rPr>
          <w:rFonts w:hint="eastAsia" w:ascii="宋体" w:hAnsi="宋体" w:eastAsia="宋体" w:cs="宋体"/>
          <w:b/>
          <w:sz w:val="22"/>
          <w:szCs w:val="22"/>
        </w:rPr>
        <w:t>2.2.3商务标评分标准：44分</w:t>
      </w:r>
      <w:bookmarkEnd w:id="153"/>
      <w:bookmarkEnd w:id="154"/>
      <w:bookmarkEnd w:id="155"/>
      <w:bookmarkEnd w:id="156"/>
    </w:p>
    <w:p>
      <w:pPr>
        <w:spacing w:line="360" w:lineRule="auto"/>
        <w:ind w:firstLine="110" w:firstLineChars="50"/>
        <w:rPr>
          <w:rFonts w:ascii="宋体" w:hAnsi="宋体" w:eastAsia="宋体" w:cs="宋体"/>
          <w:b/>
          <w:sz w:val="22"/>
          <w:szCs w:val="22"/>
        </w:rPr>
      </w:pPr>
      <w:r>
        <w:rPr>
          <w:rFonts w:hint="eastAsia" w:ascii="宋体" w:hAnsi="宋体" w:eastAsia="宋体" w:cs="宋体"/>
          <w:b/>
          <w:sz w:val="22"/>
          <w:szCs w:val="22"/>
        </w:rPr>
        <w:t>2.2.4评分办法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13"/>
        <w:gridCol w:w="1962"/>
        <w:gridCol w:w="43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2" w:type="dxa"/>
          </w:tcPr>
          <w:p>
            <w:pPr>
              <w:widowControl/>
              <w:jc w:val="center"/>
              <w:rPr>
                <w:rFonts w:ascii="宋体" w:hAnsi="宋体" w:eastAsia="宋体" w:cs="宋体"/>
                <w:b/>
                <w:bCs/>
                <w:sz w:val="24"/>
              </w:rPr>
            </w:pPr>
            <w:r>
              <w:rPr>
                <w:rFonts w:hint="eastAsia" w:ascii="宋体" w:hAnsi="宋体" w:eastAsia="宋体" w:cs="宋体"/>
                <w:b/>
                <w:bCs/>
                <w:color w:val="000000"/>
                <w:kern w:val="0"/>
                <w:sz w:val="24"/>
              </w:rPr>
              <w:t>序号</w:t>
            </w:r>
          </w:p>
        </w:tc>
        <w:tc>
          <w:tcPr>
            <w:tcW w:w="1513" w:type="dxa"/>
          </w:tcPr>
          <w:p>
            <w:pPr>
              <w:widowControl/>
              <w:jc w:val="center"/>
              <w:rPr>
                <w:rFonts w:ascii="宋体" w:hAnsi="宋体" w:eastAsia="宋体" w:cs="宋体"/>
                <w:b/>
                <w:bCs/>
                <w:sz w:val="24"/>
              </w:rPr>
            </w:pPr>
            <w:r>
              <w:rPr>
                <w:rFonts w:hint="eastAsia" w:ascii="宋体" w:hAnsi="宋体" w:eastAsia="宋体" w:cs="宋体"/>
                <w:b/>
                <w:bCs/>
                <w:sz w:val="24"/>
              </w:rPr>
              <w:t>评审因素</w:t>
            </w:r>
          </w:p>
        </w:tc>
        <w:tc>
          <w:tcPr>
            <w:tcW w:w="6312" w:type="dxa"/>
            <w:gridSpan w:val="2"/>
          </w:tcPr>
          <w:p>
            <w:pPr>
              <w:widowControl/>
              <w:jc w:val="center"/>
              <w:rPr>
                <w:rFonts w:ascii="宋体" w:hAnsi="宋体" w:eastAsia="宋体" w:cs="宋体"/>
                <w:b/>
                <w:bCs/>
                <w:sz w:val="24"/>
              </w:rPr>
            </w:pPr>
            <w:r>
              <w:rPr>
                <w:rFonts w:hint="eastAsia" w:ascii="宋体" w:hAnsi="宋体" w:eastAsia="宋体" w:cs="宋体"/>
                <w:b/>
                <w:bCs/>
                <w:color w:val="000000"/>
                <w:kern w:val="0"/>
                <w:sz w:val="24"/>
              </w:rPr>
              <w:t>评审标准</w:t>
            </w:r>
          </w:p>
        </w:tc>
        <w:tc>
          <w:tcPr>
            <w:tcW w:w="825" w:type="dxa"/>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2" w:type="dxa"/>
            <w:vMerge w:val="restart"/>
            <w:vAlign w:val="center"/>
          </w:tcPr>
          <w:p>
            <w:pPr>
              <w:rPr>
                <w:rFonts w:ascii="宋体" w:hAnsi="宋体" w:eastAsia="宋体" w:cs="宋体"/>
                <w:b/>
                <w:bCs/>
                <w:sz w:val="24"/>
              </w:rPr>
            </w:pPr>
            <w:r>
              <w:rPr>
                <w:rFonts w:hint="eastAsia" w:ascii="宋体" w:hAnsi="宋体" w:eastAsia="宋体" w:cs="宋体"/>
              </w:rPr>
              <w:t>2.2.4（1）技术部分 （56 分）</w:t>
            </w:r>
          </w:p>
        </w:tc>
        <w:tc>
          <w:tcPr>
            <w:tcW w:w="1513" w:type="dxa"/>
            <w:vMerge w:val="restart"/>
            <w:vAlign w:val="center"/>
          </w:tcPr>
          <w:p>
            <w:pPr>
              <w:rPr>
                <w:rFonts w:ascii="宋体" w:hAnsi="宋体" w:eastAsia="宋体" w:cs="宋体"/>
              </w:rPr>
            </w:pPr>
            <w:r>
              <w:rPr>
                <w:rFonts w:hint="eastAsia" w:ascii="宋体" w:hAnsi="宋体" w:eastAsia="宋体" w:cs="宋体"/>
              </w:rPr>
              <w:t>服务方案及措施（56 分）</w:t>
            </w:r>
          </w:p>
          <w:p>
            <w:pPr>
              <w:rPr>
                <w:rFonts w:ascii="宋体" w:hAnsi="宋体" w:eastAsia="宋体" w:cs="宋体"/>
                <w:b/>
                <w:bCs/>
                <w:sz w:val="24"/>
              </w:rPr>
            </w:pPr>
          </w:p>
        </w:tc>
        <w:tc>
          <w:tcPr>
            <w:tcW w:w="1962" w:type="dxa"/>
            <w:vAlign w:val="center"/>
          </w:tcPr>
          <w:p>
            <w:pPr>
              <w:rPr>
                <w:rFonts w:ascii="宋体" w:hAnsi="宋体" w:eastAsia="宋体" w:cs="宋体"/>
                <w:b/>
                <w:bCs/>
                <w:sz w:val="24"/>
              </w:rPr>
            </w:pPr>
            <w:r>
              <w:rPr>
                <w:rFonts w:hint="eastAsia" w:ascii="宋体" w:hAnsi="宋体" w:eastAsia="宋体" w:cs="宋体"/>
              </w:rPr>
              <w:t>服务</w:t>
            </w:r>
            <w:r>
              <w:rPr>
                <w:rFonts w:hint="eastAsia" w:ascii="宋体" w:hAnsi="宋体" w:eastAsia="宋体" w:cs="宋体"/>
                <w:lang w:val="en-US" w:eastAsia="zh-CN"/>
              </w:rPr>
              <w:t>管理</w:t>
            </w:r>
            <w:r>
              <w:rPr>
                <w:rFonts w:hint="eastAsia" w:ascii="宋体" w:hAnsi="宋体" w:eastAsia="宋体" w:cs="宋体"/>
              </w:rPr>
              <w:t>方案</w:t>
            </w:r>
          </w:p>
        </w:tc>
        <w:tc>
          <w:tcPr>
            <w:tcW w:w="4350" w:type="dxa"/>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制定与开封市祥符区商品房预售资金监管专用账户开户银行政策法规相适应的服务内容、组织架构、工作计划、人员培训、政策宣传、档案管理等管理措施及制度。 </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（1）服务管理方案对本项目有独到的见解，内容详实、制度清晰、职责明确且针对性、可行性强的得7分； </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（2）服务管理方案不够详细，但有一定的可行性得5分； </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（3）管理方案内容简略、针对性可行性差的得2分； </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完全不合理或缺项的得0分</w:t>
            </w:r>
          </w:p>
        </w:tc>
        <w:tc>
          <w:tcPr>
            <w:tcW w:w="825"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2" w:type="dxa"/>
            <w:vMerge w:val="continue"/>
            <w:vAlign w:val="center"/>
          </w:tcPr>
          <w:p>
            <w:pPr>
              <w:rPr>
                <w:rFonts w:hint="eastAsia" w:ascii="宋体" w:hAnsi="宋体" w:eastAsia="宋体" w:cs="宋体"/>
              </w:rPr>
            </w:pPr>
          </w:p>
        </w:tc>
        <w:tc>
          <w:tcPr>
            <w:tcW w:w="1513" w:type="dxa"/>
            <w:vMerge w:val="continue"/>
            <w:vAlign w:val="center"/>
          </w:tcPr>
          <w:p>
            <w:pPr>
              <w:rPr>
                <w:rFonts w:ascii="宋体" w:hAnsi="宋体" w:eastAsia="宋体" w:cs="宋体"/>
                <w:b/>
                <w:bCs/>
                <w:sz w:val="24"/>
              </w:rPr>
            </w:pPr>
          </w:p>
        </w:tc>
        <w:tc>
          <w:tcPr>
            <w:tcW w:w="1962" w:type="dxa"/>
            <w:vAlign w:val="center"/>
          </w:tcPr>
          <w:p>
            <w:pPr>
              <w:rPr>
                <w:rFonts w:hint="eastAsia" w:ascii="宋体" w:hAnsi="宋体" w:eastAsia="宋体" w:cs="宋体"/>
              </w:rPr>
            </w:pPr>
            <w:r>
              <w:rPr>
                <w:rFonts w:hint="eastAsia" w:ascii="宋体" w:hAnsi="宋体" w:eastAsia="宋体" w:cs="宋体"/>
              </w:rPr>
              <w:t>资金存管定制方案</w:t>
            </w:r>
          </w:p>
        </w:tc>
        <w:tc>
          <w:tcPr>
            <w:tcW w:w="4350" w:type="dxa"/>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参选银行为本项目设计切实可行的资金存管定制方案：一、根据参选银行在开户、支付结算、账户管理、特色服务等方面的金融服务与支持承诺服务方案；</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二、储户风险控制方案等。</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（1）资金存管定制方案内容详实、制度清晰、职责明确且针对性、可行性强的得7分； </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（2）方案内容不够详细，但有一定的可行性得5分；</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（3)方案内容简略、针对性可行性差的得2分； </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完全不合理或缺项的得0分</w:t>
            </w:r>
          </w:p>
        </w:tc>
        <w:tc>
          <w:tcPr>
            <w:tcW w:w="825" w:type="dxa"/>
            <w:vAlign w:val="center"/>
          </w:tcPr>
          <w:p>
            <w:pPr>
              <w:widowControl/>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2" w:type="dxa"/>
            <w:vMerge w:val="continue"/>
            <w:vAlign w:val="center"/>
          </w:tcPr>
          <w:p>
            <w:pPr>
              <w:rPr>
                <w:rFonts w:hint="eastAsia" w:ascii="宋体" w:hAnsi="宋体" w:eastAsia="宋体" w:cs="宋体"/>
              </w:rPr>
            </w:pPr>
          </w:p>
        </w:tc>
        <w:tc>
          <w:tcPr>
            <w:tcW w:w="1513" w:type="dxa"/>
            <w:vMerge w:val="continue"/>
            <w:vAlign w:val="center"/>
          </w:tcPr>
          <w:p>
            <w:pPr>
              <w:rPr>
                <w:rFonts w:ascii="宋体" w:hAnsi="宋体" w:eastAsia="宋体" w:cs="宋体"/>
                <w:b/>
                <w:bCs/>
                <w:sz w:val="24"/>
              </w:rPr>
            </w:pPr>
          </w:p>
        </w:tc>
        <w:tc>
          <w:tcPr>
            <w:tcW w:w="1962" w:type="dxa"/>
            <w:vAlign w:val="center"/>
          </w:tcPr>
          <w:p>
            <w:pPr>
              <w:rPr>
                <w:rFonts w:hint="eastAsia" w:ascii="宋体" w:hAnsi="宋体" w:eastAsia="宋体" w:cs="宋体"/>
              </w:rPr>
            </w:pPr>
            <w:r>
              <w:rPr>
                <w:rFonts w:hint="eastAsia" w:ascii="宋体" w:hAnsi="宋体" w:eastAsia="宋体" w:cs="宋体"/>
              </w:rPr>
              <w:t>资金监管计划及措施</w:t>
            </w:r>
          </w:p>
        </w:tc>
        <w:tc>
          <w:tcPr>
            <w:tcW w:w="4350" w:type="dxa"/>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监管计划及措施合理，内容科学且详细完善、有针对性，充分证明能够根据国家及地方法律法规保障购房人及各方利益，完全满足采购人项目需求得 7 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监管计划及措施有缺陷，内容不够详实，但能够协助进行基本的监督核查得 5分；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监管内容非常简单有漏洞，但能起到一定的协助监督核查作用得 2 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完全不合理或缺项得 0 分</w:t>
            </w:r>
          </w:p>
        </w:tc>
        <w:tc>
          <w:tcPr>
            <w:tcW w:w="825" w:type="dxa"/>
            <w:vAlign w:val="center"/>
          </w:tcPr>
          <w:p>
            <w:pPr>
              <w:widowControl/>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2" w:type="dxa"/>
            <w:vMerge w:val="continue"/>
            <w:vAlign w:val="center"/>
          </w:tcPr>
          <w:p>
            <w:pPr>
              <w:rPr>
                <w:rFonts w:hint="eastAsia" w:ascii="宋体" w:hAnsi="宋体" w:eastAsia="宋体" w:cs="宋体"/>
              </w:rPr>
            </w:pPr>
          </w:p>
        </w:tc>
        <w:tc>
          <w:tcPr>
            <w:tcW w:w="1513" w:type="dxa"/>
            <w:vMerge w:val="continue"/>
            <w:vAlign w:val="center"/>
          </w:tcPr>
          <w:p>
            <w:pPr>
              <w:rPr>
                <w:rFonts w:ascii="宋体" w:hAnsi="宋体" w:eastAsia="宋体" w:cs="宋体"/>
                <w:b/>
                <w:bCs/>
                <w:sz w:val="24"/>
              </w:rPr>
            </w:pPr>
          </w:p>
        </w:tc>
        <w:tc>
          <w:tcPr>
            <w:tcW w:w="1962" w:type="dxa"/>
            <w:vAlign w:val="center"/>
          </w:tcPr>
          <w:p>
            <w:pPr>
              <w:rPr>
                <w:rFonts w:hint="eastAsia" w:ascii="宋体" w:hAnsi="宋体" w:eastAsia="宋体" w:cs="宋体"/>
              </w:rPr>
            </w:pPr>
            <w:r>
              <w:rPr>
                <w:rFonts w:hint="eastAsia" w:ascii="宋体" w:hAnsi="宋体" w:eastAsia="宋体" w:cs="宋体"/>
              </w:rPr>
              <w:t>风险管控机制</w:t>
            </w:r>
          </w:p>
        </w:tc>
        <w:tc>
          <w:tcPr>
            <w:tcW w:w="4350" w:type="dxa"/>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具有商品房预售资金监管资金风险管控机制，风险管控机制内容非常全面、科学，制度完善、合理优秀得 7分；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风险管控机制内容不全面、制度不齐全、实用性可操作性一般得 5分；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风险管控机制内容简略、缺少制度内容、实用性可操作性差得2 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完全不合理或缺项的得 0 分。</w:t>
            </w:r>
          </w:p>
        </w:tc>
        <w:tc>
          <w:tcPr>
            <w:tcW w:w="825" w:type="dxa"/>
            <w:vAlign w:val="center"/>
          </w:tcPr>
          <w:p>
            <w:pPr>
              <w:widowControl/>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2" w:type="dxa"/>
            <w:vMerge w:val="continue"/>
            <w:vAlign w:val="center"/>
          </w:tcPr>
          <w:p>
            <w:pPr>
              <w:rPr>
                <w:rFonts w:hint="eastAsia" w:ascii="宋体" w:hAnsi="宋体" w:eastAsia="宋体" w:cs="宋体"/>
              </w:rPr>
            </w:pPr>
          </w:p>
        </w:tc>
        <w:tc>
          <w:tcPr>
            <w:tcW w:w="1513" w:type="dxa"/>
            <w:vMerge w:val="continue"/>
            <w:vAlign w:val="center"/>
          </w:tcPr>
          <w:p>
            <w:pPr>
              <w:rPr>
                <w:rFonts w:ascii="宋体" w:hAnsi="宋体" w:eastAsia="宋体" w:cs="宋体"/>
                <w:b/>
                <w:bCs/>
                <w:sz w:val="24"/>
              </w:rPr>
            </w:pPr>
          </w:p>
        </w:tc>
        <w:tc>
          <w:tcPr>
            <w:tcW w:w="1962" w:type="dxa"/>
            <w:vAlign w:val="center"/>
          </w:tcPr>
          <w:p>
            <w:pPr>
              <w:rPr>
                <w:rFonts w:hint="eastAsia" w:ascii="宋体" w:hAnsi="宋体" w:eastAsia="宋体" w:cs="宋体"/>
              </w:rPr>
            </w:pPr>
            <w:r>
              <w:rPr>
                <w:rFonts w:hint="eastAsia" w:ascii="宋体" w:hAnsi="宋体" w:eastAsia="宋体" w:cs="宋体"/>
              </w:rPr>
              <w:t>监管资金拨付审核方案</w:t>
            </w:r>
          </w:p>
        </w:tc>
        <w:tc>
          <w:tcPr>
            <w:tcW w:w="4350" w:type="dxa"/>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监管资金拨付审核方案编制全面，内容详实，操作便捷，审核严格，完全满足项目需求的得7 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方案编制不全面、审核严格但操作繁琐，基本能满足项目需求的得 5 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方案编制内容简略，审核不严格，不能满足项目需求的得 2分；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方案不合理或缺项得 0 分</w:t>
            </w:r>
          </w:p>
        </w:tc>
        <w:tc>
          <w:tcPr>
            <w:tcW w:w="825" w:type="dxa"/>
            <w:vAlign w:val="center"/>
          </w:tcPr>
          <w:p>
            <w:pPr>
              <w:widowControl/>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12" w:type="dxa"/>
            <w:vMerge w:val="continue"/>
            <w:vAlign w:val="center"/>
          </w:tcPr>
          <w:p>
            <w:pPr>
              <w:rPr>
                <w:rFonts w:ascii="宋体" w:hAnsi="宋体" w:eastAsia="宋体" w:cs="宋体"/>
                <w:b/>
                <w:bCs/>
                <w:sz w:val="24"/>
              </w:rPr>
            </w:pPr>
          </w:p>
        </w:tc>
        <w:tc>
          <w:tcPr>
            <w:tcW w:w="1513" w:type="dxa"/>
            <w:vMerge w:val="continue"/>
            <w:vAlign w:val="center"/>
          </w:tcPr>
          <w:p>
            <w:pPr>
              <w:rPr>
                <w:rFonts w:ascii="宋体" w:hAnsi="宋体" w:eastAsia="宋体" w:cs="宋体"/>
                <w:b/>
                <w:bCs/>
                <w:sz w:val="24"/>
              </w:rPr>
            </w:pPr>
          </w:p>
        </w:tc>
        <w:tc>
          <w:tcPr>
            <w:tcW w:w="1962" w:type="dxa"/>
            <w:vAlign w:val="center"/>
          </w:tcPr>
          <w:p>
            <w:pPr>
              <w:widowControl/>
              <w:jc w:val="left"/>
              <w:rPr>
                <w:rFonts w:ascii="宋体" w:hAnsi="宋体" w:eastAsia="宋体" w:cs="宋体"/>
                <w:b/>
                <w:bCs/>
                <w:sz w:val="24"/>
              </w:rPr>
            </w:pPr>
            <w:r>
              <w:rPr>
                <w:rFonts w:hint="eastAsia"/>
              </w:rPr>
              <w:t>服务过程中各阶段性核对、整理、移交等工作的方案</w:t>
            </w:r>
          </w:p>
        </w:tc>
        <w:tc>
          <w:tcPr>
            <w:tcW w:w="4350" w:type="dxa"/>
            <w:vAlign w:val="center"/>
          </w:tcPr>
          <w:p>
            <w:pPr>
              <w:widowControl/>
              <w:jc w:val="left"/>
              <w:rPr>
                <w:rFonts w:ascii="宋体" w:hAnsi="宋体" w:eastAsia="宋体" w:cs="宋体"/>
                <w:b/>
                <w:bCs/>
                <w:sz w:val="24"/>
              </w:rPr>
            </w:pPr>
            <w:r>
              <w:rPr>
                <w:rFonts w:hint="eastAsia" w:ascii="宋体" w:hAnsi="宋体" w:eastAsia="宋体" w:cs="宋体"/>
                <w:color w:val="000000"/>
                <w:kern w:val="0"/>
                <w:sz w:val="20"/>
                <w:szCs w:val="20"/>
              </w:rPr>
              <w:t>工作方案</w:t>
            </w:r>
            <w:r>
              <w:rPr>
                <w:rFonts w:hint="eastAsia" w:ascii="宋体" w:hAnsi="宋体" w:eastAsia="宋体" w:cs="宋体"/>
                <w:szCs w:val="21"/>
              </w:rPr>
              <w:t>完善、</w:t>
            </w:r>
            <w:r>
              <w:rPr>
                <w:rFonts w:hint="eastAsia" w:ascii="宋体" w:hAnsi="宋体" w:eastAsia="宋体" w:cs="宋体"/>
                <w:color w:val="000000"/>
                <w:kern w:val="0"/>
                <w:sz w:val="20"/>
                <w:szCs w:val="20"/>
              </w:rPr>
              <w:t>详细、</w:t>
            </w:r>
            <w:r>
              <w:rPr>
                <w:rFonts w:hint="eastAsia" w:ascii="宋体" w:hAnsi="宋体" w:eastAsia="宋体" w:cs="宋体"/>
                <w:szCs w:val="21"/>
              </w:rPr>
              <w:t>合理的得</w:t>
            </w:r>
            <w:r>
              <w:rPr>
                <w:rFonts w:hint="eastAsia" w:ascii="宋体" w:hAnsi="宋体" w:eastAsia="宋体" w:cs="宋体"/>
                <w:szCs w:val="21"/>
                <w:lang w:val="en-US" w:eastAsia="zh-CN"/>
              </w:rPr>
              <w:t>7</w:t>
            </w:r>
            <w:r>
              <w:rPr>
                <w:rFonts w:hint="eastAsia" w:ascii="宋体" w:hAnsi="宋体" w:eastAsia="宋体" w:cs="宋体"/>
                <w:color w:val="000000"/>
                <w:kern w:val="0"/>
                <w:sz w:val="20"/>
                <w:szCs w:val="20"/>
              </w:rPr>
              <w:t>分；一般的得</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分，较差的得</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分。</w:t>
            </w:r>
            <w:r>
              <w:rPr>
                <w:rFonts w:hint="eastAsia" w:ascii="宋体" w:hAnsi="宋体" w:eastAsia="宋体" w:cs="宋体"/>
                <w:color w:val="000000"/>
                <w:kern w:val="0"/>
                <w:sz w:val="20"/>
                <w:szCs w:val="20"/>
                <w:lang w:val="en-US" w:eastAsia="zh-CN"/>
              </w:rPr>
              <w:t>不合理或缺项得 0 分。</w:t>
            </w:r>
          </w:p>
        </w:tc>
        <w:tc>
          <w:tcPr>
            <w:tcW w:w="825" w:type="dxa"/>
            <w:vAlign w:val="center"/>
          </w:tcPr>
          <w:p>
            <w:pP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12" w:type="dxa"/>
            <w:vMerge w:val="continue"/>
            <w:vAlign w:val="center"/>
          </w:tcPr>
          <w:p>
            <w:pPr>
              <w:rPr>
                <w:rFonts w:ascii="宋体" w:hAnsi="宋体" w:eastAsia="宋体" w:cs="宋体"/>
                <w:b/>
                <w:bCs/>
                <w:sz w:val="24"/>
              </w:rPr>
            </w:pPr>
          </w:p>
        </w:tc>
        <w:tc>
          <w:tcPr>
            <w:tcW w:w="1513" w:type="dxa"/>
            <w:vMerge w:val="continue"/>
            <w:vAlign w:val="center"/>
          </w:tcPr>
          <w:p>
            <w:pPr>
              <w:rPr>
                <w:rFonts w:ascii="宋体" w:hAnsi="宋体" w:eastAsia="宋体" w:cs="宋体"/>
                <w:b/>
                <w:bCs/>
                <w:sz w:val="24"/>
              </w:rPr>
            </w:pPr>
          </w:p>
        </w:tc>
        <w:tc>
          <w:tcPr>
            <w:tcW w:w="1962" w:type="dxa"/>
            <w:vAlign w:val="center"/>
          </w:tcPr>
          <w:p>
            <w:pPr>
              <w:rPr>
                <w:rFonts w:ascii="宋体" w:hAnsi="宋体" w:eastAsia="宋体" w:cs="宋体"/>
                <w:b/>
                <w:bCs/>
                <w:sz w:val="24"/>
              </w:rPr>
            </w:pPr>
            <w:r>
              <w:rPr>
                <w:rFonts w:hint="eastAsia" w:ascii="宋体" w:hAnsi="宋体" w:eastAsia="宋体" w:cs="宋体"/>
              </w:rPr>
              <w:t>服务质量保障措施</w:t>
            </w:r>
          </w:p>
        </w:tc>
        <w:tc>
          <w:tcPr>
            <w:tcW w:w="4350" w:type="dxa"/>
            <w:vAlign w:val="center"/>
          </w:tcPr>
          <w:p>
            <w:pPr>
              <w:rPr>
                <w:rFonts w:ascii="宋体" w:hAnsi="宋体" w:eastAsia="宋体" w:cs="宋体"/>
                <w:b/>
                <w:bCs/>
                <w:sz w:val="24"/>
              </w:rPr>
            </w:pPr>
            <w:r>
              <w:rPr>
                <w:rFonts w:hint="eastAsia" w:ascii="宋体" w:hAnsi="宋体" w:eastAsia="宋体" w:cs="宋体"/>
                <w:szCs w:val="21"/>
              </w:rPr>
              <w:t>服务质量的保障措施完善、</w:t>
            </w:r>
            <w:r>
              <w:rPr>
                <w:rFonts w:hint="eastAsia" w:ascii="宋体" w:hAnsi="宋体" w:eastAsia="宋体" w:cs="宋体"/>
                <w:color w:val="000000"/>
                <w:kern w:val="0"/>
                <w:sz w:val="20"/>
                <w:szCs w:val="20"/>
              </w:rPr>
              <w:t>详细、</w:t>
            </w:r>
            <w:r>
              <w:rPr>
                <w:rFonts w:hint="eastAsia" w:ascii="宋体" w:hAnsi="宋体" w:eastAsia="宋体" w:cs="宋体"/>
                <w:szCs w:val="21"/>
              </w:rPr>
              <w:t>合理的得</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分；一般的得</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分，较差的得</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分。</w:t>
            </w:r>
            <w:r>
              <w:rPr>
                <w:rFonts w:hint="eastAsia" w:ascii="宋体" w:hAnsi="宋体" w:eastAsia="宋体" w:cs="宋体"/>
                <w:color w:val="000000"/>
                <w:kern w:val="0"/>
                <w:sz w:val="20"/>
                <w:szCs w:val="20"/>
                <w:lang w:val="en-US" w:eastAsia="zh-CN"/>
              </w:rPr>
              <w:t>不合理或缺项得 0 分。</w:t>
            </w:r>
          </w:p>
        </w:tc>
        <w:tc>
          <w:tcPr>
            <w:tcW w:w="825" w:type="dxa"/>
            <w:vAlign w:val="center"/>
          </w:tcPr>
          <w:p>
            <w:pP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12" w:type="dxa"/>
            <w:vMerge w:val="continue"/>
            <w:vAlign w:val="center"/>
          </w:tcPr>
          <w:p>
            <w:pPr>
              <w:rPr>
                <w:rFonts w:ascii="宋体" w:hAnsi="宋体" w:eastAsia="宋体" w:cs="宋体"/>
                <w:b/>
                <w:bCs/>
                <w:sz w:val="24"/>
              </w:rPr>
            </w:pPr>
          </w:p>
        </w:tc>
        <w:tc>
          <w:tcPr>
            <w:tcW w:w="1513" w:type="dxa"/>
            <w:vMerge w:val="continue"/>
            <w:vAlign w:val="center"/>
          </w:tcPr>
          <w:p>
            <w:pPr>
              <w:rPr>
                <w:rFonts w:ascii="宋体" w:hAnsi="宋体" w:eastAsia="宋体" w:cs="宋体"/>
                <w:b/>
                <w:bCs/>
                <w:sz w:val="24"/>
              </w:rPr>
            </w:pPr>
          </w:p>
        </w:tc>
        <w:tc>
          <w:tcPr>
            <w:tcW w:w="1962" w:type="dxa"/>
            <w:vAlign w:val="center"/>
          </w:tcPr>
          <w:p>
            <w:pPr>
              <w:rPr>
                <w:rFonts w:ascii="宋体" w:hAnsi="宋体" w:eastAsia="宋体" w:cs="宋体"/>
                <w:b/>
                <w:bCs/>
                <w:sz w:val="24"/>
              </w:rPr>
            </w:pPr>
            <w:r>
              <w:rPr>
                <w:rFonts w:hint="eastAsia" w:ascii="宋体" w:hAnsi="宋体" w:eastAsia="宋体" w:cs="宋体"/>
              </w:rPr>
              <w:t>保密措施</w:t>
            </w:r>
          </w:p>
        </w:tc>
        <w:tc>
          <w:tcPr>
            <w:tcW w:w="4350" w:type="dxa"/>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保密措施合理，内容科学且详细完善、有针对性， 得7 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保密措施有缺陷，内容不够详实，得 5分；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保密措施非常简单有漏洞，得2 分；</w:t>
            </w:r>
          </w:p>
          <w:p>
            <w:pPr>
              <w:rPr>
                <w:rFonts w:ascii="宋体" w:hAnsi="宋体" w:eastAsia="宋体" w:cs="宋体"/>
                <w:szCs w:val="21"/>
              </w:rPr>
            </w:pPr>
            <w:r>
              <w:rPr>
                <w:rFonts w:hint="eastAsia" w:ascii="宋体" w:hAnsi="宋体" w:eastAsia="宋体" w:cs="宋体"/>
                <w:color w:val="000000"/>
                <w:kern w:val="0"/>
                <w:sz w:val="20"/>
                <w:szCs w:val="20"/>
                <w:lang w:val="en-US" w:eastAsia="zh-CN"/>
              </w:rPr>
              <w:t>完全不合理或缺项得 0 分</w:t>
            </w:r>
          </w:p>
        </w:tc>
        <w:tc>
          <w:tcPr>
            <w:tcW w:w="825" w:type="dxa"/>
            <w:vAlign w:val="center"/>
          </w:tcPr>
          <w:p>
            <w:pP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Merge w:val="restart"/>
            <w:vAlign w:val="center"/>
          </w:tcPr>
          <w:p>
            <w:pPr>
              <w:rPr>
                <w:rFonts w:ascii="宋体" w:hAnsi="宋体" w:eastAsia="宋体" w:cs="宋体"/>
              </w:rPr>
            </w:pPr>
            <w:r>
              <w:rPr>
                <w:rFonts w:hint="eastAsia" w:ascii="宋体" w:hAnsi="宋体" w:eastAsia="宋体" w:cs="宋体"/>
              </w:rPr>
              <w:t>2.2.4（2）</w:t>
            </w:r>
            <w:r>
              <w:rPr>
                <w:rFonts w:hint="eastAsia"/>
              </w:rPr>
              <w:t>商务部分</w:t>
            </w:r>
          </w:p>
          <w:p>
            <w:pPr>
              <w:rPr>
                <w:rFonts w:ascii="宋体" w:hAnsi="宋体" w:eastAsia="宋体" w:cs="宋体"/>
              </w:rPr>
            </w:pPr>
            <w:r>
              <w:rPr>
                <w:rFonts w:hint="eastAsia" w:ascii="宋体" w:hAnsi="宋体" w:eastAsia="宋体" w:cs="宋体"/>
              </w:rPr>
              <w:t>（44 分）</w:t>
            </w:r>
          </w:p>
          <w:p>
            <w:pPr>
              <w:rPr>
                <w:rFonts w:ascii="宋体" w:hAnsi="宋体" w:eastAsia="宋体" w:cs="宋体"/>
                <w:b/>
                <w:bCs/>
                <w:sz w:val="24"/>
              </w:rPr>
            </w:pPr>
          </w:p>
        </w:tc>
        <w:tc>
          <w:tcPr>
            <w:tcW w:w="1513" w:type="dxa"/>
            <w:vAlign w:val="center"/>
          </w:tcPr>
          <w:p>
            <w:pPr>
              <w:ind w:left="210" w:leftChars="100"/>
              <w:rPr>
                <w:rFonts w:ascii="宋体" w:hAnsi="宋体" w:eastAsia="宋体" w:cs="宋体"/>
              </w:rPr>
            </w:pPr>
            <w:r>
              <w:rPr>
                <w:rFonts w:hint="eastAsia" w:ascii="宋体" w:hAnsi="宋体" w:eastAsia="宋体" w:cs="宋体"/>
              </w:rPr>
              <w:t>人员配备</w:t>
            </w:r>
          </w:p>
        </w:tc>
        <w:tc>
          <w:tcPr>
            <w:tcW w:w="6312" w:type="dxa"/>
            <w:gridSpan w:val="2"/>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项目负责人具有中级职称的得3分；具有高级职称的得5分；该项最多得5分。（0-5分）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其他人员具备中级及以上职称人员（会计师、经济师、金融理财师、法律）的每增加1名得2分，该项多高得10分。（0-10分）</w:t>
            </w:r>
          </w:p>
        </w:tc>
        <w:tc>
          <w:tcPr>
            <w:tcW w:w="825" w:type="dxa"/>
            <w:vAlign w:val="center"/>
          </w:tcPr>
          <w:p>
            <w:pPr>
              <w:rPr>
                <w:rFonts w:ascii="宋体" w:hAnsi="宋体" w:eastAsia="宋体" w:cs="宋体"/>
              </w:rPr>
            </w:pPr>
            <w:r>
              <w:rPr>
                <w:rFonts w:hint="eastAsia" w:ascii="宋体" w:hAnsi="宋体" w:eastAsia="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12" w:type="dxa"/>
            <w:vMerge w:val="continue"/>
            <w:vAlign w:val="center"/>
          </w:tcPr>
          <w:p>
            <w:pPr>
              <w:rPr>
                <w:rFonts w:ascii="宋体" w:hAnsi="宋体" w:eastAsia="宋体" w:cs="宋体"/>
                <w:b/>
                <w:bCs/>
                <w:sz w:val="24"/>
              </w:rPr>
            </w:pPr>
          </w:p>
        </w:tc>
        <w:tc>
          <w:tcPr>
            <w:tcW w:w="1513" w:type="dxa"/>
            <w:vAlign w:val="center"/>
          </w:tcPr>
          <w:p>
            <w:pPr>
              <w:widowControl/>
              <w:ind w:left="400" w:hanging="400" w:hangingChars="200"/>
              <w:jc w:val="left"/>
              <w:rPr>
                <w:rFonts w:ascii="宋体" w:hAnsi="宋体" w:eastAsia="宋体" w:cs="宋体"/>
                <w:b/>
                <w:bCs/>
                <w:sz w:val="24"/>
              </w:rPr>
            </w:pPr>
            <w:r>
              <w:rPr>
                <w:rFonts w:hint="eastAsia" w:ascii="宋体" w:hAnsi="宋体" w:eastAsia="宋体" w:cs="宋体"/>
                <w:color w:val="000000"/>
                <w:kern w:val="0"/>
                <w:sz w:val="20"/>
                <w:szCs w:val="20"/>
              </w:rPr>
              <w:t>软件服务能力</w:t>
            </w:r>
          </w:p>
        </w:tc>
        <w:tc>
          <w:tcPr>
            <w:tcW w:w="6312" w:type="dxa"/>
            <w:gridSpan w:val="2"/>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具备软件服务技术和能力并承担过业务的，提供证明文件或合同，每提供一份得 3 分，该项最多得 9 分。（0-9分）</w:t>
            </w:r>
          </w:p>
        </w:tc>
        <w:tc>
          <w:tcPr>
            <w:tcW w:w="82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Merge w:val="continue"/>
            <w:vAlign w:val="center"/>
          </w:tcPr>
          <w:p>
            <w:pPr>
              <w:rPr>
                <w:rFonts w:ascii="宋体" w:hAnsi="宋体" w:eastAsia="宋体" w:cs="宋体"/>
                <w:b/>
                <w:bCs/>
                <w:sz w:val="24"/>
              </w:rPr>
            </w:pPr>
          </w:p>
        </w:tc>
        <w:tc>
          <w:tcPr>
            <w:tcW w:w="1513" w:type="dxa"/>
            <w:vAlign w:val="center"/>
          </w:tcPr>
          <w:p>
            <w:pPr>
              <w:widowControl/>
              <w:ind w:left="200" w:hanging="200" w:hangingChars="100"/>
              <w:jc w:val="left"/>
              <w:rPr>
                <w:rFonts w:ascii="宋体" w:hAnsi="宋体" w:eastAsia="宋体" w:cs="宋体"/>
                <w:b/>
                <w:bCs/>
                <w:sz w:val="24"/>
              </w:rPr>
            </w:pPr>
            <w:r>
              <w:rPr>
                <w:rFonts w:hint="eastAsia" w:ascii="宋体" w:hAnsi="宋体" w:eastAsia="宋体" w:cs="宋体"/>
                <w:color w:val="000000"/>
                <w:kern w:val="0"/>
                <w:sz w:val="20"/>
                <w:szCs w:val="20"/>
              </w:rPr>
              <w:t>资金监管业绩</w:t>
            </w:r>
          </w:p>
        </w:tc>
        <w:tc>
          <w:tcPr>
            <w:tcW w:w="6312" w:type="dxa"/>
            <w:gridSpan w:val="2"/>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从事过资金监管代管业务的，提供证明文件或合同，每提供一份得 4分，该项最多 12 分（12分）</w:t>
            </w:r>
          </w:p>
        </w:tc>
        <w:tc>
          <w:tcPr>
            <w:tcW w:w="825" w:type="dxa"/>
            <w:vAlign w:val="center"/>
          </w:tcPr>
          <w:p>
            <w:pPr>
              <w:rPr>
                <w:rFonts w:ascii="宋体" w:hAnsi="宋体" w:eastAsia="宋体" w:cs="宋体"/>
                <w:b/>
                <w:bCs/>
                <w:sz w:val="24"/>
              </w:rPr>
            </w:pPr>
            <w:r>
              <w:rPr>
                <w:rFonts w:hint="eastAsia" w:ascii="宋体" w:hAnsi="宋体" w:eastAsia="宋体" w:cs="宋体"/>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Merge w:val="continue"/>
            <w:vAlign w:val="center"/>
          </w:tcPr>
          <w:p>
            <w:pPr>
              <w:rPr>
                <w:rFonts w:ascii="宋体" w:hAnsi="宋体" w:eastAsia="宋体" w:cs="宋体"/>
                <w:b/>
                <w:bCs/>
                <w:sz w:val="24"/>
              </w:rPr>
            </w:pPr>
          </w:p>
        </w:tc>
        <w:tc>
          <w:tcPr>
            <w:tcW w:w="1513"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rPr>
              <w:t>服务承诺</w:t>
            </w:r>
          </w:p>
        </w:tc>
        <w:tc>
          <w:tcPr>
            <w:tcW w:w="6312" w:type="dxa"/>
            <w:gridSpan w:val="2"/>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人员、技术、设备的承诺（0-2分）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专户的管理的承诺（0-2分）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职责及监管的承诺（0-2分）</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其他实质性的承诺（0-2分）</w:t>
            </w:r>
          </w:p>
        </w:tc>
        <w:tc>
          <w:tcPr>
            <w:tcW w:w="825" w:type="dxa"/>
            <w:vAlign w:val="center"/>
          </w:tcPr>
          <w:p>
            <w:pPr>
              <w:rPr>
                <w:rFonts w:ascii="宋体" w:hAnsi="宋体" w:eastAsia="宋体" w:cs="宋体"/>
                <w:szCs w:val="21"/>
              </w:rPr>
            </w:pPr>
            <w:r>
              <w:rPr>
                <w:rFonts w:hint="eastAsia" w:ascii="宋体" w:hAnsi="宋体" w:eastAsia="宋体" w:cs="宋体"/>
                <w:szCs w:val="21"/>
              </w:rPr>
              <w:t>8分</w:t>
            </w:r>
          </w:p>
        </w:tc>
      </w:tr>
    </w:tbl>
    <w:p>
      <w:pPr>
        <w:widowControl/>
        <w:numPr>
          <w:ilvl w:val="0"/>
          <w:numId w:val="2"/>
        </w:numPr>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投标人综合得分=技术部分评分＋商务部分评分。 </w:t>
      </w:r>
    </w:p>
    <w:p>
      <w:pPr>
        <w:widowControl/>
        <w:numPr>
          <w:ilvl w:val="0"/>
          <w:numId w:val="2"/>
        </w:numPr>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投标人最终得分：评标委员会完成评审后，按所有评委评分结果平均值作为该投标人最终得分。</w:t>
      </w:r>
    </w:p>
    <w:p>
      <w:pPr>
        <w:widowControl/>
        <w:numPr>
          <w:ilvl w:val="0"/>
          <w:numId w:val="2"/>
        </w:numPr>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本办法计算过程中分值按四舍五入保留二位小数。 </w:t>
      </w:r>
    </w:p>
    <w:p>
      <w:pPr>
        <w:widowControl/>
        <w:numPr>
          <w:ilvl w:val="0"/>
          <w:numId w:val="2"/>
        </w:numPr>
        <w:spacing w:line="360" w:lineRule="auto"/>
        <w:jc w:val="left"/>
        <w:rPr>
          <w:rStyle w:val="36"/>
          <w:rFonts w:ascii="宋体" w:hAnsi="宋体" w:eastAsia="宋体" w:cs="宋体"/>
        </w:rPr>
      </w:pPr>
      <w:r>
        <w:rPr>
          <w:rStyle w:val="36"/>
          <w:rFonts w:hint="eastAsia" w:ascii="宋体" w:hAnsi="宋体" w:eastAsia="宋体" w:cs="宋体"/>
        </w:rPr>
        <w:t>各项得分按四舍五入原则精确到小数点后两位。</w:t>
      </w:r>
    </w:p>
    <w:p>
      <w:pPr>
        <w:widowControl/>
        <w:spacing w:line="360" w:lineRule="auto"/>
        <w:jc w:val="left"/>
      </w:pPr>
      <w:r>
        <w:rPr>
          <w:rStyle w:val="36"/>
          <w:rFonts w:hint="eastAsia" w:ascii="宋体" w:hAnsi="宋体" w:eastAsia="宋体" w:cs="宋体"/>
        </w:rPr>
        <w:t>5、评委会按照</w:t>
      </w:r>
      <w:r>
        <w:rPr>
          <w:rFonts w:hint="eastAsia" w:ascii="宋体" w:hAnsi="宋体" w:eastAsia="宋体" w:cs="宋体"/>
          <w:szCs w:val="21"/>
        </w:rPr>
        <w:t>总得分高于80分（含80分）的多家投标人向招标人推荐入围中标候选人</w:t>
      </w:r>
      <w:r>
        <w:rPr>
          <w:rFonts w:hint="eastAsia" w:ascii="宋体" w:hAnsi="宋体" w:eastAsia="宋体" w:cs="宋体"/>
          <w:kern w:val="0"/>
          <w:sz w:val="20"/>
          <w:szCs w:val="20"/>
        </w:rPr>
        <w:t>。</w:t>
      </w:r>
    </w:p>
    <w:p>
      <w:pPr>
        <w:widowControl/>
        <w:spacing w:line="360" w:lineRule="auto"/>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3、评审标准</w:t>
      </w:r>
    </w:p>
    <w:p>
      <w:pPr>
        <w:pStyle w:val="11"/>
      </w:pPr>
      <w:r>
        <w:rPr>
          <w:rFonts w:hint="eastAsia" w:ascii="宋体" w:hAnsi="宋体" w:eastAsia="宋体" w:cs="宋体"/>
          <w:color w:val="000000"/>
          <w:kern w:val="0"/>
          <w:szCs w:val="21"/>
        </w:rPr>
        <w:t>3.1初步评审</w:t>
      </w:r>
    </w:p>
    <w:p>
      <w:pPr>
        <w:widowControl/>
        <w:spacing w:line="360" w:lineRule="auto"/>
        <w:ind w:firstLine="210" w:firstLineChars="100"/>
        <w:jc w:val="left"/>
        <w:rPr>
          <w:szCs w:val="21"/>
        </w:rPr>
      </w:pPr>
      <w:r>
        <w:rPr>
          <w:rFonts w:hint="eastAsia" w:ascii="宋体" w:hAnsi="宋体" w:eastAsia="宋体" w:cs="宋体"/>
          <w:color w:val="000000"/>
          <w:kern w:val="0"/>
          <w:szCs w:val="21"/>
        </w:rPr>
        <w:t xml:space="preserve">3.1.1资格审查 </w:t>
      </w:r>
    </w:p>
    <w:p>
      <w:pPr>
        <w:widowControl/>
        <w:spacing w:line="360" w:lineRule="auto"/>
        <w:ind w:firstLine="630" w:firstLineChars="300"/>
        <w:jc w:val="left"/>
      </w:pPr>
      <w:r>
        <w:rPr>
          <w:rFonts w:hint="eastAsia" w:ascii="宋体" w:hAnsi="宋体" w:eastAsia="宋体" w:cs="宋体"/>
          <w:color w:val="000000"/>
          <w:kern w:val="0"/>
          <w:szCs w:val="21"/>
        </w:rPr>
        <w:t>依据评标办法前附表规定的标准对投标文件进行评审。资格审查小组依据本章资格审查表规定的标准对投标文件进行资格审查，以确定投标人是否具备投标资格，有一项不符合评审标准的，资格审查小组应当认定其投标无效，合格投标人不足 3 家的，不得评标。</w:t>
      </w:r>
    </w:p>
    <w:p>
      <w:pPr>
        <w:widowControl/>
        <w:spacing w:line="360" w:lineRule="auto"/>
        <w:ind w:firstLine="210" w:firstLineChars="100"/>
        <w:jc w:val="left"/>
        <w:rPr>
          <w:rFonts w:ascii="宋体" w:hAnsi="宋体" w:eastAsia="宋体" w:cs="宋体"/>
          <w:b/>
          <w:bCs/>
          <w:color w:val="000000"/>
          <w:kern w:val="0"/>
          <w:szCs w:val="21"/>
        </w:rPr>
      </w:pPr>
      <w:r>
        <w:rPr>
          <w:rFonts w:hint="eastAsia" w:ascii="宋体" w:hAnsi="宋体" w:eastAsia="宋体" w:cs="宋体"/>
          <w:color w:val="000000"/>
          <w:kern w:val="0"/>
          <w:szCs w:val="21"/>
        </w:rPr>
        <w:t>3.1.2 符合性审查</w:t>
      </w:r>
    </w:p>
    <w:p>
      <w:pPr>
        <w:widowControl/>
        <w:spacing w:line="360" w:lineRule="auto"/>
        <w:ind w:firstLine="630" w:firstLineChars="300"/>
        <w:jc w:val="left"/>
      </w:pPr>
      <w:r>
        <w:rPr>
          <w:rFonts w:hint="eastAsia" w:ascii="宋体" w:hAnsi="宋体" w:eastAsia="宋体" w:cs="宋体"/>
          <w:color w:val="000000"/>
          <w:kern w:val="0"/>
          <w:szCs w:val="21"/>
        </w:rPr>
        <w:t>评标委员会依据本章符合性审查表规定的标准，对符合资格的投标人的投标文件进行符合性审查，以确定其是否满足招标文件的实质性要求，有一项不符合评审标准的，评标委员会应当认定其投标无效。</w:t>
      </w:r>
    </w:p>
    <w:p>
      <w:pPr>
        <w:widowControl/>
        <w:spacing w:line="360" w:lineRule="auto"/>
        <w:ind w:firstLine="210" w:firstLineChars="100"/>
        <w:jc w:val="left"/>
        <w:rPr>
          <w:rFonts w:ascii="宋体" w:hAnsi="宋体" w:eastAsia="宋体" w:cs="宋体"/>
          <w:szCs w:val="21"/>
        </w:rPr>
      </w:pPr>
      <w:r>
        <w:rPr>
          <w:rFonts w:hint="eastAsia" w:ascii="宋体" w:hAnsi="宋体" w:eastAsia="宋体" w:cs="宋体"/>
          <w:color w:val="000000"/>
          <w:kern w:val="0"/>
          <w:szCs w:val="21"/>
        </w:rPr>
        <w:t>3.1.3 投标文件属下列情况之一的，应当在资格性、符合性检查时按照无效投标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处理：（1）不具备招标文件中规定资格要求的； </w:t>
      </w:r>
    </w:p>
    <w:p>
      <w:pPr>
        <w:widowControl/>
        <w:spacing w:line="360" w:lineRule="auto"/>
        <w:ind w:firstLine="630" w:firstLineChars="300"/>
        <w:jc w:val="left"/>
        <w:rPr>
          <w:rFonts w:ascii="宋体" w:hAnsi="宋体" w:eastAsia="宋体" w:cs="宋体"/>
          <w:szCs w:val="21"/>
        </w:rPr>
      </w:pPr>
      <w:r>
        <w:rPr>
          <w:rFonts w:hint="eastAsia" w:ascii="宋体" w:hAnsi="宋体" w:eastAsia="宋体" w:cs="宋体"/>
          <w:color w:val="000000"/>
          <w:kern w:val="0"/>
          <w:szCs w:val="21"/>
        </w:rPr>
        <w:t>（2） 未按照招标文件要求签署、盖章的；</w:t>
      </w:r>
    </w:p>
    <w:p>
      <w:pPr>
        <w:widowControl/>
        <w:spacing w:line="360" w:lineRule="auto"/>
        <w:ind w:firstLine="630" w:firstLineChars="300"/>
        <w:jc w:val="left"/>
        <w:rPr>
          <w:rFonts w:ascii="宋体" w:hAnsi="宋体" w:eastAsia="宋体" w:cs="宋体"/>
          <w:szCs w:val="21"/>
        </w:rPr>
      </w:pPr>
      <w:r>
        <w:rPr>
          <w:rFonts w:hint="eastAsia" w:ascii="宋体" w:hAnsi="宋体" w:eastAsia="宋体" w:cs="宋体"/>
          <w:color w:val="000000"/>
          <w:kern w:val="0"/>
          <w:szCs w:val="21"/>
        </w:rPr>
        <w:t>（3） 不响应招标文件投标有效期、投标内容、服务期等的；</w:t>
      </w:r>
    </w:p>
    <w:p>
      <w:pPr>
        <w:widowControl/>
        <w:spacing w:line="360" w:lineRule="auto"/>
        <w:ind w:firstLine="630" w:firstLineChars="300"/>
        <w:jc w:val="left"/>
        <w:rPr>
          <w:rFonts w:ascii="宋体" w:hAnsi="宋体" w:eastAsia="宋体" w:cs="宋体"/>
          <w:szCs w:val="21"/>
        </w:rPr>
      </w:pPr>
      <w:r>
        <w:rPr>
          <w:rFonts w:hint="eastAsia" w:ascii="宋体" w:hAnsi="宋体" w:eastAsia="宋体" w:cs="宋体"/>
          <w:color w:val="000000"/>
          <w:kern w:val="0"/>
          <w:szCs w:val="21"/>
        </w:rPr>
        <w:t>（4） 投标文件含有招标人不能接受的附加条件的；</w:t>
      </w:r>
    </w:p>
    <w:p>
      <w:pPr>
        <w:widowControl/>
        <w:spacing w:line="360" w:lineRule="auto"/>
        <w:ind w:firstLine="630" w:firstLineChars="300"/>
        <w:jc w:val="left"/>
        <w:rPr>
          <w:rFonts w:ascii="宋体" w:hAnsi="宋体" w:eastAsia="宋体" w:cs="宋体"/>
          <w:szCs w:val="21"/>
        </w:rPr>
      </w:pPr>
      <w:r>
        <w:rPr>
          <w:rFonts w:hint="eastAsia" w:ascii="宋体" w:hAnsi="宋体" w:eastAsia="宋体" w:cs="宋体"/>
          <w:color w:val="000000"/>
          <w:kern w:val="0"/>
          <w:szCs w:val="21"/>
        </w:rPr>
        <w:t>（5） 法律、法规和招标文件规定的其他无效情形。</w:t>
      </w:r>
    </w:p>
    <w:p>
      <w:pPr>
        <w:widowControl/>
        <w:spacing w:line="360" w:lineRule="auto"/>
        <w:ind w:firstLine="210" w:firstLineChars="100"/>
        <w:jc w:val="left"/>
        <w:rPr>
          <w:rFonts w:ascii="宋体" w:hAnsi="宋体" w:eastAsia="宋体" w:cs="宋体"/>
          <w:szCs w:val="21"/>
        </w:rPr>
      </w:pPr>
      <w:r>
        <w:rPr>
          <w:rFonts w:hint="eastAsia" w:ascii="宋体" w:hAnsi="宋体" w:eastAsia="宋体" w:cs="宋体"/>
          <w:color w:val="000000"/>
          <w:kern w:val="0"/>
          <w:szCs w:val="21"/>
        </w:rPr>
        <w:t xml:space="preserve">3.2 详细评审 </w:t>
      </w:r>
    </w:p>
    <w:p>
      <w:pPr>
        <w:widowControl/>
        <w:spacing w:line="360" w:lineRule="auto"/>
        <w:ind w:firstLine="630" w:firstLineChars="300"/>
        <w:jc w:val="left"/>
        <w:rPr>
          <w:rFonts w:ascii="宋体" w:hAnsi="宋体" w:cs="宋体"/>
          <w:szCs w:val="21"/>
        </w:rPr>
      </w:pPr>
      <w:r>
        <w:rPr>
          <w:rFonts w:hint="eastAsia" w:ascii="宋体" w:hAnsi="宋体" w:eastAsia="宋体" w:cs="宋体"/>
          <w:color w:val="000000"/>
          <w:kern w:val="0"/>
          <w:szCs w:val="21"/>
        </w:rPr>
        <w:t xml:space="preserve">3.2.1 </w:t>
      </w:r>
      <w:r>
        <w:rPr>
          <w:rFonts w:hint="eastAsia" w:ascii="宋体" w:hAnsi="宋体" w:cs="宋体"/>
          <w:szCs w:val="21"/>
        </w:rPr>
        <w:t>评标委员会按本章第2.2 款规定的量化因素和分值进行打分，并计算出综合得分。</w:t>
      </w:r>
    </w:p>
    <w:p>
      <w:pPr>
        <w:spacing w:line="400" w:lineRule="exact"/>
        <w:ind w:firstLine="420" w:firstLineChars="200"/>
        <w:rPr>
          <w:rFonts w:ascii="宋体" w:hAnsi="宋体" w:cs="宋体"/>
        </w:rPr>
      </w:pPr>
      <w:r>
        <w:rPr>
          <w:rFonts w:hint="eastAsia" w:ascii="宋体" w:hAnsi="宋体" w:cs="宋体"/>
          <w:szCs w:val="21"/>
        </w:rPr>
        <w:t>（1）按本章第2.2.4（1）目规定的评审因素和分值对</w:t>
      </w:r>
      <w:r>
        <w:rPr>
          <w:rFonts w:hint="eastAsia" w:ascii="宋体" w:hAnsi="宋体" w:eastAsia="宋体" w:cs="宋体"/>
        </w:rPr>
        <w:t>技术部分</w:t>
      </w:r>
      <w:r>
        <w:rPr>
          <w:rFonts w:hint="eastAsia" w:ascii="宋体" w:hAnsi="宋体" w:cs="宋体"/>
          <w:szCs w:val="21"/>
        </w:rPr>
        <w:t>计算出得分A；</w:t>
      </w:r>
    </w:p>
    <w:p>
      <w:pPr>
        <w:widowControl/>
        <w:spacing w:line="360" w:lineRule="auto"/>
        <w:ind w:firstLine="420" w:firstLineChars="200"/>
        <w:jc w:val="left"/>
        <w:rPr>
          <w:rFonts w:ascii="宋体" w:hAnsi="宋体" w:cs="宋体"/>
          <w:szCs w:val="21"/>
        </w:rPr>
      </w:pPr>
      <w:r>
        <w:rPr>
          <w:rFonts w:hint="eastAsia" w:ascii="宋体" w:hAnsi="宋体" w:cs="宋体"/>
          <w:szCs w:val="21"/>
        </w:rPr>
        <w:t>（2）按本章第2.2.4（2）目规定的评审因素和分值对</w:t>
      </w:r>
      <w:r>
        <w:rPr>
          <w:rFonts w:hint="eastAsia"/>
        </w:rPr>
        <w:t>商务部分</w:t>
      </w:r>
      <w:r>
        <w:rPr>
          <w:rFonts w:hint="eastAsia" w:ascii="宋体" w:hAnsi="宋体" w:cs="宋体"/>
          <w:szCs w:val="21"/>
        </w:rPr>
        <w:t>计算出得分B；</w:t>
      </w:r>
    </w:p>
    <w:p>
      <w:pPr>
        <w:spacing w:line="400" w:lineRule="exact"/>
        <w:ind w:firstLine="630" w:firstLineChars="300"/>
        <w:rPr>
          <w:rFonts w:ascii="宋体" w:hAnsi="宋体" w:cs="宋体"/>
        </w:rPr>
      </w:pPr>
      <w:r>
        <w:rPr>
          <w:rFonts w:hint="eastAsia" w:ascii="宋体" w:hAnsi="宋体" w:cs="宋体"/>
          <w:szCs w:val="21"/>
        </w:rPr>
        <w:t>3.2.2 评分分值计算</w:t>
      </w:r>
      <w:r>
        <w:rPr>
          <w:rFonts w:hint="eastAsia" w:ascii="宋体" w:hAnsi="宋体" w:eastAsia="宋体" w:cs="宋体"/>
          <w:color w:val="000000"/>
          <w:kern w:val="0"/>
          <w:szCs w:val="21"/>
        </w:rPr>
        <w:t>四舍五入保留二位小数</w:t>
      </w:r>
      <w:r>
        <w:rPr>
          <w:rFonts w:hint="eastAsia" w:ascii="宋体" w:hAnsi="宋体" w:cs="宋体"/>
          <w:szCs w:val="21"/>
        </w:rPr>
        <w:t>。</w:t>
      </w:r>
    </w:p>
    <w:p>
      <w:pPr>
        <w:spacing w:line="400" w:lineRule="exact"/>
        <w:ind w:firstLine="630" w:firstLineChars="300"/>
        <w:rPr>
          <w:rFonts w:ascii="宋体" w:hAnsi="宋体" w:cs="宋体"/>
          <w:szCs w:val="21"/>
        </w:rPr>
      </w:pPr>
      <w:r>
        <w:rPr>
          <w:rFonts w:hint="eastAsia" w:ascii="宋体" w:hAnsi="宋体" w:cs="宋体"/>
          <w:szCs w:val="21"/>
        </w:rPr>
        <w:t>3.2.3 投标人得分=A+B。</w:t>
      </w:r>
    </w:p>
    <w:p>
      <w:pPr>
        <w:spacing w:line="400" w:lineRule="exact"/>
        <w:ind w:firstLine="630" w:firstLineChars="300"/>
        <w:rPr>
          <w:rFonts w:ascii="宋体" w:hAnsi="宋体" w:cs="宋体"/>
          <w:szCs w:val="21"/>
        </w:rPr>
      </w:pPr>
      <w:r>
        <w:rPr>
          <w:rFonts w:hint="eastAsia" w:ascii="宋体" w:hAnsi="宋体" w:cs="宋体"/>
          <w:szCs w:val="21"/>
        </w:rPr>
        <w:t>3.2.4评标委员会完成评审后，按所有评委评分结果平均值作为该投标人最终得分。</w:t>
      </w:r>
    </w:p>
    <w:p>
      <w:pPr>
        <w:spacing w:line="400" w:lineRule="exact"/>
        <w:rPr>
          <w:rFonts w:ascii="宋体" w:hAnsi="宋体" w:cs="宋体"/>
          <w:szCs w:val="21"/>
        </w:rPr>
      </w:pPr>
      <w:r>
        <w:rPr>
          <w:rFonts w:hint="eastAsia" w:ascii="宋体" w:hAnsi="宋体" w:cs="宋体"/>
          <w:szCs w:val="21"/>
        </w:rPr>
        <w:t xml:space="preserve">3.3 投标文件的澄清和补正 </w:t>
      </w:r>
    </w:p>
    <w:p>
      <w:pPr>
        <w:spacing w:line="400" w:lineRule="exact"/>
        <w:ind w:firstLine="420" w:firstLineChars="200"/>
        <w:rPr>
          <w:rFonts w:ascii="宋体" w:hAnsi="宋体" w:eastAsia="宋体" w:cs="宋体"/>
          <w:szCs w:val="21"/>
        </w:rPr>
      </w:pPr>
      <w:r>
        <w:rPr>
          <w:rFonts w:hint="eastAsia" w:ascii="宋体" w:hAnsi="宋体" w:eastAsia="宋体" w:cs="宋体"/>
          <w:color w:val="000000"/>
          <w:kern w:val="0"/>
          <w:szCs w:val="21"/>
        </w:rPr>
        <w:t xml:space="preserve">在评标过程中，评标委员会可以书面形式，要求投标人对所提交的投标文件中不明确的内容进行必要的澄清或说明。投标人的澄清或说明应采用书面形式，并不得改变投标文件的实质性内容。投标人的澄清和说明内容属于投标文件的组成部分。招标人和评标员会不接受申请人主动提出的澄清或说明。 </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3.4 评标结果</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color w:val="000000"/>
          <w:kern w:val="0"/>
          <w:szCs w:val="21"/>
        </w:rPr>
        <w:t xml:space="preserve">评标委员会按照程序对投标文件完成审查后，确定入围投标候选人名单，并向招标人提交书面评标报告。 </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4、签约</w:t>
      </w:r>
    </w:p>
    <w:p>
      <w:pPr>
        <w:spacing w:line="360" w:lineRule="auto"/>
        <w:ind w:firstLine="210" w:firstLineChars="100"/>
        <w:rPr>
          <w:rFonts w:ascii="宋体" w:hAnsi="宋体" w:eastAsia="宋体" w:cs="宋体"/>
          <w:szCs w:val="21"/>
        </w:rPr>
      </w:pPr>
      <w:r>
        <w:rPr>
          <w:rFonts w:hint="eastAsia" w:ascii="宋体" w:hAnsi="宋体" w:eastAsia="宋体" w:cs="宋体"/>
          <w:szCs w:val="21"/>
        </w:rPr>
        <w:t>招标人应当自《中标通知书》发出之日起30日内，按照招标文件和入围投标人投标文件的约定，与入围投标人签订书面合同。</w:t>
      </w:r>
    </w:p>
    <w:p>
      <w:pPr>
        <w:pStyle w:val="33"/>
        <w:spacing w:line="360" w:lineRule="auto"/>
        <w:rPr>
          <w:rFonts w:ascii="宋体" w:hAnsi="宋体" w:eastAsia="宋体" w:cs="宋体"/>
          <w:b/>
          <w:bCs/>
          <w:sz w:val="21"/>
          <w:szCs w:val="21"/>
        </w:rPr>
      </w:pPr>
    </w:p>
    <w:p>
      <w:pPr>
        <w:rPr>
          <w:rFonts w:ascii="宋体" w:hAnsi="宋体" w:eastAsia="宋体" w:cs="宋体"/>
          <w:b/>
          <w:bCs/>
          <w:szCs w:val="21"/>
        </w:rPr>
      </w:pPr>
      <w:r>
        <w:rPr>
          <w:rFonts w:hint="eastAsia" w:ascii="宋体" w:hAnsi="宋体" w:eastAsia="宋体" w:cs="宋体"/>
          <w:b/>
          <w:bCs/>
          <w:szCs w:val="21"/>
        </w:rPr>
        <w:br w:type="page"/>
      </w:r>
    </w:p>
    <w:p>
      <w:pPr>
        <w:spacing w:line="360" w:lineRule="auto"/>
        <w:jc w:val="center"/>
        <w:outlineLvl w:val="0"/>
        <w:rPr>
          <w:rFonts w:ascii="宋体" w:hAnsi="宋体" w:eastAsia="宋体" w:cs="宋体"/>
          <w:szCs w:val="32"/>
        </w:rPr>
      </w:pPr>
      <w:bookmarkStart w:id="157" w:name="_Toc334881524"/>
      <w:bookmarkStart w:id="158" w:name="_Toc88158592"/>
      <w:bookmarkStart w:id="159" w:name="_Toc15374"/>
      <w:bookmarkStart w:id="160" w:name="_Toc21303"/>
      <w:r>
        <w:rPr>
          <w:rFonts w:hint="eastAsia" w:ascii="宋体" w:hAnsi="宋体" w:eastAsia="宋体" w:cs="宋体"/>
          <w:b/>
          <w:sz w:val="32"/>
          <w:szCs w:val="32"/>
        </w:rPr>
        <w:t>第四章 合同条款及格式</w:t>
      </w:r>
      <w:bookmarkEnd w:id="157"/>
      <w:bookmarkEnd w:id="158"/>
      <w:bookmarkEnd w:id="159"/>
      <w:bookmarkEnd w:id="160"/>
    </w:p>
    <w:p>
      <w:pPr>
        <w:pStyle w:val="20"/>
        <w:wordWrap w:val="0"/>
        <w:spacing w:line="400" w:lineRule="exact"/>
        <w:jc w:val="center"/>
        <w:rPr>
          <w:rFonts w:ascii="宋体" w:hAnsi="宋体" w:eastAsia="宋体" w:cs="宋体"/>
          <w:sz w:val="21"/>
          <w:szCs w:val="21"/>
        </w:rPr>
      </w:pPr>
      <w:r>
        <w:rPr>
          <w:rFonts w:hint="eastAsia" w:ascii="宋体" w:hAnsi="宋体" w:eastAsia="宋体" w:cs="宋体"/>
          <w:sz w:val="21"/>
          <w:szCs w:val="21"/>
        </w:rPr>
        <w:t>注：合同参照最新版的合同执行，最终以招标人签订的版本为准</w:t>
      </w:r>
    </w:p>
    <w:p>
      <w:pPr>
        <w:pStyle w:val="4"/>
        <w:ind w:firstLine="422"/>
        <w:rPr>
          <w:rFonts w:ascii="宋体" w:hAnsi="宋体" w:eastAsia="宋体" w:cs="宋体"/>
          <w:b/>
          <w:bCs/>
          <w:sz w:val="21"/>
          <w:szCs w:val="21"/>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tabs>
          <w:tab w:val="left" w:pos="3076"/>
        </w:tabs>
        <w:jc w:val="left"/>
        <w:rPr>
          <w:rFonts w:ascii="宋体" w:hAnsi="宋体" w:eastAsia="宋体" w:cs="宋体"/>
        </w:rPr>
      </w:pPr>
      <w:r>
        <w:rPr>
          <w:rFonts w:hint="eastAsia" w:ascii="宋体" w:hAnsi="宋体" w:eastAsia="宋体" w:cs="宋体"/>
        </w:rPr>
        <w:tab/>
      </w:r>
    </w:p>
    <w:p>
      <w:pPr>
        <w:rPr>
          <w:rFonts w:ascii="宋体" w:hAnsi="宋体" w:eastAsia="宋体" w:cs="宋体"/>
        </w:rPr>
      </w:pPr>
      <w:r>
        <w:rPr>
          <w:rFonts w:hint="eastAsia" w:ascii="宋体" w:hAnsi="宋体" w:eastAsia="宋体" w:cs="宋体"/>
        </w:rPr>
        <w:br w:type="page"/>
      </w:r>
    </w:p>
    <w:p>
      <w:pPr>
        <w:spacing w:line="360" w:lineRule="auto"/>
        <w:jc w:val="center"/>
        <w:outlineLvl w:val="0"/>
        <w:rPr>
          <w:rFonts w:ascii="宋体" w:hAnsi="宋体" w:eastAsia="宋体" w:cs="宋体"/>
          <w:sz w:val="40"/>
          <w:szCs w:val="32"/>
        </w:rPr>
      </w:pPr>
      <w:bookmarkStart w:id="161" w:name="_Toc8387"/>
      <w:bookmarkStart w:id="162" w:name="_Toc334881528"/>
      <w:bookmarkStart w:id="163" w:name="_Toc8092"/>
      <w:bookmarkStart w:id="164" w:name="_Toc88158593"/>
      <w:r>
        <w:rPr>
          <w:rFonts w:hint="eastAsia" w:ascii="宋体" w:hAnsi="宋体" w:eastAsia="宋体" w:cs="宋体"/>
          <w:b/>
          <w:sz w:val="32"/>
          <w:szCs w:val="32"/>
        </w:rPr>
        <w:t xml:space="preserve">第五章 </w:t>
      </w:r>
      <w:bookmarkEnd w:id="161"/>
      <w:bookmarkEnd w:id="162"/>
      <w:r>
        <w:rPr>
          <w:rFonts w:hint="eastAsia" w:ascii="宋体" w:hAnsi="宋体" w:eastAsia="宋体" w:cs="宋体"/>
          <w:b/>
          <w:sz w:val="32"/>
          <w:szCs w:val="32"/>
        </w:rPr>
        <w:t>委托人要求</w:t>
      </w:r>
      <w:bookmarkEnd w:id="163"/>
      <w:bookmarkEnd w:id="164"/>
    </w:p>
    <w:p>
      <w:pPr>
        <w:widowControl/>
        <w:adjustRightInd w:val="0"/>
        <w:snapToGrid w:val="0"/>
        <w:spacing w:line="560" w:lineRule="exact"/>
        <w:ind w:firstLine="422" w:firstLineChars="200"/>
        <w:rPr>
          <w:rFonts w:ascii="宋体" w:hAnsi="宋体" w:eastAsia="宋体" w:cs="宋体"/>
          <w:b/>
          <w:bCs/>
          <w:szCs w:val="21"/>
        </w:rPr>
      </w:pPr>
      <w:r>
        <w:rPr>
          <w:rFonts w:hint="eastAsia" w:ascii="宋体" w:hAnsi="宋体" w:eastAsia="宋体" w:cs="宋体"/>
          <w:b/>
          <w:bCs/>
          <w:szCs w:val="21"/>
        </w:rPr>
        <w:t>新建商品房预售资金监管工作需求：</w:t>
      </w:r>
    </w:p>
    <w:p>
      <w:pPr>
        <w:widowControl/>
        <w:adjustRightInd w:val="0"/>
        <w:snapToGrid w:val="0"/>
        <w:spacing w:line="560" w:lineRule="exact"/>
        <w:ind w:firstLine="422" w:firstLineChars="200"/>
        <w:rPr>
          <w:rFonts w:ascii="宋体" w:hAnsi="宋体" w:eastAsia="宋体" w:cs="宋体"/>
          <w:szCs w:val="21"/>
        </w:rPr>
      </w:pPr>
      <w:r>
        <w:rPr>
          <w:rFonts w:hint="eastAsia" w:ascii="宋体" w:hAnsi="宋体" w:eastAsia="宋体" w:cs="宋体"/>
          <w:b/>
          <w:bCs/>
          <w:szCs w:val="21"/>
        </w:rPr>
        <w:t>1、监管账户的开立：</w:t>
      </w:r>
      <w:r>
        <w:rPr>
          <w:rFonts w:hint="eastAsia" w:ascii="宋体" w:hAnsi="宋体" w:eastAsia="宋体" w:cs="宋体"/>
          <w:szCs w:val="21"/>
        </w:rPr>
        <w:t>配备相应管理人员，在满足本行业务管理系统与预售资金监管系统、商品房网签备案管理系统、公积金管理系统、银联网银系统数据传送和对接的前提下，开立新建商品房预售资金监管专户，用于开封市</w:t>
      </w:r>
      <w:r>
        <w:rPr>
          <w:rFonts w:hint="eastAsia" w:ascii="宋体" w:hAnsi="宋体" w:eastAsia="宋体" w:cs="宋体"/>
          <w:szCs w:val="21"/>
          <w:lang w:val="en-US" w:eastAsia="zh-CN"/>
        </w:rPr>
        <w:t>祥符区</w:t>
      </w:r>
      <w:r>
        <w:rPr>
          <w:rFonts w:hint="eastAsia" w:ascii="宋体" w:hAnsi="宋体" w:eastAsia="宋体" w:cs="宋体"/>
          <w:szCs w:val="21"/>
        </w:rPr>
        <w:t xml:space="preserve">新建商品房预售资金收缴、拨付。                              </w:t>
      </w:r>
    </w:p>
    <w:p>
      <w:pPr>
        <w:widowControl/>
        <w:adjustRightInd w:val="0"/>
        <w:snapToGrid w:val="0"/>
        <w:spacing w:line="560" w:lineRule="exact"/>
        <w:ind w:firstLine="422" w:firstLineChars="200"/>
        <w:rPr>
          <w:rFonts w:ascii="宋体" w:hAnsi="宋体" w:eastAsia="宋体" w:cs="宋体"/>
          <w:szCs w:val="21"/>
        </w:rPr>
      </w:pPr>
      <w:r>
        <w:rPr>
          <w:rFonts w:hint="eastAsia" w:ascii="宋体" w:hAnsi="宋体" w:eastAsia="宋体" w:cs="宋体"/>
          <w:b/>
          <w:bCs/>
          <w:szCs w:val="21"/>
        </w:rPr>
        <w:t>2、监管账户的管理：</w:t>
      </w:r>
      <w:r>
        <w:rPr>
          <w:rFonts w:hint="eastAsia" w:ascii="宋体" w:hAnsi="宋体" w:eastAsia="宋体" w:cs="宋体"/>
          <w:szCs w:val="21"/>
        </w:rPr>
        <w:t>银行负责对签订新建商品房预售资金监管协议的商品房项目预售资金监管专户进行管理，期限自项目预售许可证办理起至新建商品房预售资金专户撤销为止。</w:t>
      </w:r>
    </w:p>
    <w:p>
      <w:pPr>
        <w:widowControl/>
        <w:adjustRightInd w:val="0"/>
        <w:snapToGrid w:val="0"/>
        <w:spacing w:line="560" w:lineRule="exact"/>
        <w:ind w:firstLine="422" w:firstLineChars="200"/>
        <w:rPr>
          <w:rFonts w:ascii="宋体" w:hAnsi="宋体" w:eastAsia="宋体" w:cs="宋体"/>
          <w:szCs w:val="21"/>
        </w:rPr>
      </w:pPr>
      <w:r>
        <w:rPr>
          <w:rFonts w:hint="eastAsia" w:ascii="宋体" w:hAnsi="宋体" w:eastAsia="宋体" w:cs="宋体"/>
          <w:b/>
          <w:bCs/>
          <w:szCs w:val="21"/>
        </w:rPr>
        <w:t>3、监管银行职责、期限：</w:t>
      </w:r>
      <w:r>
        <w:rPr>
          <w:rFonts w:hint="eastAsia" w:ascii="宋体" w:hAnsi="宋体" w:eastAsia="宋体" w:cs="宋体"/>
          <w:szCs w:val="21"/>
        </w:rPr>
        <w:t>银行开立新建商品房预售资金监管专用账户，保管预售资金，确保资金安全；及时向房地产行业主管部门披露监管资金的相关信息；</w:t>
      </w:r>
      <w:r>
        <w:rPr>
          <w:rFonts w:hint="eastAsia" w:ascii="宋体" w:hAnsi="宋体" w:eastAsia="宋体" w:cs="宋体"/>
          <w:szCs w:val="21"/>
          <w:highlight w:val="none"/>
        </w:rPr>
        <w:t>服务期暂定3年</w:t>
      </w:r>
      <w:r>
        <w:rPr>
          <w:rFonts w:hint="eastAsia" w:ascii="宋体" w:hAnsi="宋体" w:eastAsia="宋体" w:cs="宋体"/>
          <w:szCs w:val="21"/>
        </w:rPr>
        <w:t>，如国家和上级政策有变化的，应遵照政策要求执行；如无政策调整，服务期满后，银行无违规行为的按照每一个年度依次顺延；出现违规行为且整改不力的，解除协议，自动终止银行新建商品房预售资金监管业务资格。</w:t>
      </w:r>
    </w:p>
    <w:p>
      <w:pPr>
        <w:widowControl/>
        <w:adjustRightInd w:val="0"/>
        <w:snapToGrid w:val="0"/>
        <w:spacing w:line="560" w:lineRule="exact"/>
        <w:ind w:firstLine="422" w:firstLineChars="200"/>
        <w:rPr>
          <w:rFonts w:ascii="宋体" w:hAnsi="宋体" w:eastAsia="宋体" w:cs="宋体"/>
          <w:szCs w:val="21"/>
        </w:rPr>
      </w:pPr>
      <w:r>
        <w:rPr>
          <w:rFonts w:hint="eastAsia" w:ascii="宋体" w:hAnsi="宋体" w:eastAsia="宋体" w:cs="宋体"/>
          <w:b/>
          <w:bCs/>
          <w:szCs w:val="21"/>
        </w:rPr>
        <w:t>4、监管资金存入：</w:t>
      </w:r>
      <w:r>
        <w:rPr>
          <w:rFonts w:hint="eastAsia" w:ascii="宋体" w:hAnsi="宋体" w:eastAsia="宋体" w:cs="宋体"/>
          <w:szCs w:val="21"/>
        </w:rPr>
        <w:t>依据《开封市新建商品房预售资金监管工作实施细则》及《开封市新建商品房预售资金监管协议》的规定，房地产开发企业须将购房款（定金、一次性付款、分期付款、首付款和银行按揭贷款、住房公积金贷款）全额存入预售资金监管专户，监管银行对账户资金履行管理职责。</w:t>
      </w:r>
    </w:p>
    <w:p>
      <w:pPr>
        <w:widowControl/>
        <w:adjustRightInd w:val="0"/>
        <w:snapToGrid w:val="0"/>
        <w:spacing w:line="560" w:lineRule="exact"/>
        <w:ind w:firstLine="422" w:firstLineChars="200"/>
        <w:rPr>
          <w:rFonts w:ascii="宋体" w:hAnsi="宋体" w:eastAsia="宋体" w:cs="宋体"/>
          <w:szCs w:val="21"/>
        </w:rPr>
      </w:pPr>
      <w:r>
        <w:rPr>
          <w:rFonts w:hint="eastAsia" w:ascii="宋体" w:hAnsi="宋体" w:eastAsia="宋体" w:cs="宋体"/>
          <w:b/>
          <w:bCs/>
          <w:szCs w:val="21"/>
        </w:rPr>
        <w:t>5、监管资金拨付：</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一）新建商品房预售资金监管，专户专存、专款专用、全额缴存、重点监管。重点监管资金须专项用于有关的工程建设，包括项目建设必需的建筑材料、设备和施工进度款等相关支出，不得用于支付其他借（贷）款的本金和利息，不得用于缴纳土地价款、罚金、支付营销费用及房地产开发企业员工工资等。未经所在地房地产行业主管部门核实同意，不得擅自拨付。在商品房项目完成房屋所有权首次登记前，商业银行不得擅自扣划；设立子公司的房地产开发企业，集团公司不得抽调。</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 xml:space="preserve">（二）监管银行凭所在地房地产行业主管部门出具的《新建商品房预售资金拨付使用通知书》，经比对核实，从资金监管专户直接将款项划拨至对应的企业账户。                                                                                                                                                                                                                                                                                                                                                                                                                                                                                                                                                                                                                                                                                                                                                                                                                                                                                                                                                                                                                                                                                                                                                                                                                                                                                                                                                                                                                        </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（三）监管银行凭所在地房地产行业主管部门出具的《新建商品房预售资金退款通知书》，经比对核实，从资金监管专户直接将款项划拨至对应的企业账户。</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（四）监管银行凭所在地房地产行业主管部门出具的《开封市预售资金监管解除函》，方可办理撤销监管账户手续。</w:t>
      </w:r>
    </w:p>
    <w:p>
      <w:pPr>
        <w:widowControl/>
        <w:adjustRightInd w:val="0"/>
        <w:snapToGrid w:val="0"/>
        <w:spacing w:line="560" w:lineRule="exact"/>
        <w:ind w:firstLine="422" w:firstLineChars="200"/>
        <w:rPr>
          <w:rFonts w:ascii="宋体" w:hAnsi="宋体" w:eastAsia="宋体" w:cs="宋体"/>
          <w:b/>
          <w:bCs/>
          <w:szCs w:val="21"/>
        </w:rPr>
      </w:pPr>
      <w:r>
        <w:rPr>
          <w:rFonts w:hint="eastAsia" w:ascii="宋体" w:hAnsi="宋体" w:eastAsia="宋体" w:cs="宋体"/>
          <w:b/>
          <w:bCs/>
          <w:szCs w:val="21"/>
        </w:rPr>
        <w:t>6、监管银行具体职责：</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（一）监管银行负责对预售资金收缴、使用、实施的具体监管。</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（二）监管银行须严格按照预售资金监管协议做好监管账户监控，发现监管账户异常的，应当立即停止资金拨付，并告知房地产行业主管部门、银保监分局和人民银行支行。</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（三）监管银行应定期对监管账户按揭款收存情况进行核查，发现有未存入情况的应及时告知所在地人民银行支行和房地产行业主管部门，并向对应的贷款银行进行追缴。</w:t>
      </w:r>
    </w:p>
    <w:p>
      <w:pPr>
        <w:widowControl/>
        <w:adjustRightInd w:val="0"/>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（四）有关部门依法对监管账户进行冻结或扣划商品房预售资金的，监管银行应当向有关部门说明监管账户和商品房预售资金的性质及用途，并及时书面告知房地产行业主管部门和被监管预售资金的开发企业。</w:t>
      </w:r>
    </w:p>
    <w:p>
      <w:pPr>
        <w:widowControl/>
        <w:adjustRightInd w:val="0"/>
        <w:snapToGrid w:val="0"/>
        <w:spacing w:line="560" w:lineRule="exact"/>
        <w:ind w:firstLine="422" w:firstLineChars="200"/>
        <w:rPr>
          <w:rFonts w:ascii="宋体" w:hAnsi="宋体" w:eastAsia="宋体" w:cs="宋体"/>
          <w:szCs w:val="21"/>
        </w:rPr>
      </w:pPr>
      <w:r>
        <w:rPr>
          <w:rFonts w:hint="eastAsia" w:ascii="宋体" w:hAnsi="宋体" w:eastAsia="宋体" w:cs="宋体"/>
          <w:b/>
          <w:bCs/>
          <w:szCs w:val="21"/>
        </w:rPr>
        <w:t>7、监管专户撤销：</w:t>
      </w:r>
      <w:r>
        <w:rPr>
          <w:rFonts w:hint="eastAsia" w:ascii="宋体" w:hAnsi="宋体" w:eastAsia="宋体" w:cs="宋体"/>
          <w:szCs w:val="21"/>
        </w:rPr>
        <w:t>完成初始登记后，监管银行可凭项目所在地房地产行业主管部门出具的《开封市预售资金监管解除函》，及时撤销预售资金监管专户。监管专户撤销后如有余额，划转至房地产开发企业其他账户。</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spacing w:line="360" w:lineRule="auto"/>
        <w:jc w:val="center"/>
        <w:outlineLvl w:val="0"/>
        <w:rPr>
          <w:rFonts w:ascii="宋体" w:hAnsi="宋体" w:eastAsia="宋体" w:cs="宋体"/>
          <w:sz w:val="24"/>
        </w:rPr>
      </w:pPr>
      <w:bookmarkStart w:id="165" w:name="_Toc20323"/>
      <w:r>
        <w:rPr>
          <w:rFonts w:hint="eastAsia" w:ascii="宋体" w:hAnsi="宋体" w:eastAsia="宋体" w:cs="宋体"/>
          <w:b/>
          <w:sz w:val="32"/>
          <w:szCs w:val="32"/>
        </w:rPr>
        <w:t> </w:t>
      </w:r>
      <w:bookmarkStart w:id="166" w:name="_Toc88158594"/>
      <w:r>
        <w:rPr>
          <w:rFonts w:hint="eastAsia" w:ascii="宋体" w:hAnsi="宋体" w:eastAsia="宋体" w:cs="宋体"/>
          <w:b/>
          <w:sz w:val="32"/>
          <w:szCs w:val="32"/>
        </w:rPr>
        <w:t>第六章 投标文件格式</w:t>
      </w:r>
      <w:bookmarkEnd w:id="165"/>
      <w:bookmarkEnd w:id="166"/>
    </w:p>
    <w:p>
      <w:pPr>
        <w:spacing w:line="360" w:lineRule="auto"/>
        <w:jc w:val="center"/>
        <w:rPr>
          <w:rFonts w:ascii="宋体" w:hAnsi="宋体" w:eastAsia="宋体" w:cs="宋体"/>
          <w:b/>
          <w:bCs/>
          <w:sz w:val="36"/>
          <w:szCs w:val="32"/>
          <w:u w:val="single"/>
        </w:rPr>
      </w:pPr>
    </w:p>
    <w:p>
      <w:pPr>
        <w:spacing w:line="360" w:lineRule="auto"/>
        <w:jc w:val="center"/>
        <w:rPr>
          <w:rFonts w:ascii="宋体" w:hAnsi="宋体" w:eastAsia="宋体" w:cs="宋体"/>
          <w:b/>
          <w:bCs/>
          <w:sz w:val="36"/>
          <w:szCs w:val="32"/>
          <w:u w:val="single"/>
        </w:rPr>
      </w:pPr>
      <w:r>
        <w:rPr>
          <w:rFonts w:hint="eastAsia" w:ascii="宋体" w:hAnsi="宋体" w:eastAsia="宋体" w:cs="宋体"/>
          <w:b/>
          <w:bCs/>
          <w:sz w:val="36"/>
          <w:szCs w:val="32"/>
          <w:u w:val="single"/>
        </w:rPr>
        <w:t>（项目名称）</w:t>
      </w:r>
    </w:p>
    <w:p>
      <w:pPr>
        <w:pStyle w:val="21"/>
        <w:ind w:firstLine="210"/>
        <w:rPr>
          <w:rFonts w:ascii="宋体" w:hAnsi="宋体" w:eastAsia="宋体" w:cs="宋体"/>
        </w:rPr>
      </w:pPr>
    </w:p>
    <w:p>
      <w:pPr>
        <w:spacing w:line="360" w:lineRule="auto"/>
        <w:jc w:val="center"/>
        <w:rPr>
          <w:rFonts w:ascii="宋体" w:hAnsi="宋体" w:eastAsia="宋体" w:cs="宋体"/>
          <w:b/>
          <w:bCs/>
          <w:sz w:val="44"/>
          <w:szCs w:val="40"/>
        </w:rPr>
      </w:pPr>
    </w:p>
    <w:p>
      <w:pPr>
        <w:pStyle w:val="21"/>
        <w:ind w:firstLine="210"/>
        <w:rPr>
          <w:rFonts w:ascii="宋体" w:hAnsi="宋体" w:eastAsia="宋体" w:cs="宋体"/>
        </w:rPr>
      </w:pPr>
    </w:p>
    <w:p>
      <w:pPr>
        <w:spacing w:line="360" w:lineRule="auto"/>
        <w:jc w:val="center"/>
        <w:rPr>
          <w:rFonts w:ascii="宋体" w:hAnsi="宋体" w:eastAsia="宋体" w:cs="宋体"/>
          <w:b/>
          <w:bCs/>
          <w:sz w:val="72"/>
          <w:szCs w:val="72"/>
        </w:rPr>
      </w:pPr>
      <w:r>
        <w:rPr>
          <w:rFonts w:hint="eastAsia" w:ascii="宋体" w:hAnsi="宋体" w:eastAsia="宋体" w:cs="宋体"/>
          <w:b/>
          <w:bCs/>
          <w:sz w:val="72"/>
          <w:szCs w:val="72"/>
        </w:rPr>
        <w:t>投标文件</w:t>
      </w:r>
    </w:p>
    <w:p>
      <w:pPr>
        <w:spacing w:line="360" w:lineRule="auto"/>
        <w:jc w:val="center"/>
        <w:rPr>
          <w:rFonts w:ascii="宋体" w:hAnsi="宋体" w:eastAsia="宋体" w:cs="宋体"/>
          <w:b/>
          <w:bCs/>
          <w:sz w:val="84"/>
          <w:szCs w:val="84"/>
        </w:rPr>
      </w:pPr>
      <w:r>
        <w:rPr>
          <w:rFonts w:hint="eastAsia" w:ascii="宋体" w:hAnsi="宋体" w:eastAsia="宋体" w:cs="宋体"/>
          <w:b/>
          <w:sz w:val="32"/>
          <w:szCs w:val="32"/>
        </w:rPr>
        <w:t>项目编号：</w:t>
      </w:r>
    </w:p>
    <w:p>
      <w:pPr>
        <w:spacing w:line="360" w:lineRule="auto"/>
        <w:jc w:val="center"/>
        <w:rPr>
          <w:rFonts w:ascii="宋体" w:hAnsi="宋体" w:eastAsia="宋体" w:cs="宋体"/>
          <w:sz w:val="24"/>
        </w:rPr>
      </w:pPr>
    </w:p>
    <w:p>
      <w:pPr>
        <w:spacing w:line="360" w:lineRule="auto"/>
        <w:ind w:left="420" w:leftChars="200"/>
        <w:jc w:val="left"/>
        <w:rPr>
          <w:rFonts w:ascii="宋体" w:hAnsi="宋体" w:eastAsia="宋体" w:cs="宋体"/>
          <w:sz w:val="24"/>
          <w:u w:val="single"/>
        </w:rPr>
      </w:pPr>
    </w:p>
    <w:p>
      <w:pPr>
        <w:spacing w:line="360" w:lineRule="auto"/>
        <w:ind w:left="420" w:leftChars="200"/>
        <w:jc w:val="left"/>
        <w:rPr>
          <w:rFonts w:ascii="宋体" w:hAnsi="宋体" w:eastAsia="宋体" w:cs="宋体"/>
          <w:sz w:val="24"/>
          <w:u w:val="single"/>
        </w:rPr>
      </w:pPr>
    </w:p>
    <w:p>
      <w:pPr>
        <w:spacing w:line="360" w:lineRule="auto"/>
        <w:ind w:left="420" w:leftChars="200"/>
        <w:jc w:val="left"/>
        <w:rPr>
          <w:rFonts w:ascii="宋体" w:hAnsi="宋体" w:eastAsia="宋体" w:cs="宋体"/>
          <w:sz w:val="24"/>
          <w:u w:val="single"/>
        </w:rPr>
      </w:pPr>
    </w:p>
    <w:p>
      <w:pPr>
        <w:spacing w:line="360" w:lineRule="auto"/>
        <w:ind w:left="420" w:leftChars="200"/>
        <w:jc w:val="left"/>
        <w:rPr>
          <w:rFonts w:ascii="宋体" w:hAnsi="宋体" w:eastAsia="宋体" w:cs="宋体"/>
          <w:sz w:val="24"/>
          <w:u w:val="single"/>
        </w:rPr>
      </w:pPr>
    </w:p>
    <w:p>
      <w:pPr>
        <w:spacing w:line="360" w:lineRule="auto"/>
        <w:ind w:left="420" w:leftChars="200"/>
        <w:jc w:val="left"/>
        <w:rPr>
          <w:rFonts w:ascii="宋体" w:hAnsi="宋体" w:eastAsia="宋体" w:cs="宋体"/>
          <w:sz w:val="24"/>
          <w:u w:val="single"/>
        </w:rPr>
      </w:pPr>
    </w:p>
    <w:p>
      <w:pPr>
        <w:spacing w:line="360" w:lineRule="auto"/>
        <w:ind w:left="420" w:leftChars="200"/>
        <w:jc w:val="left"/>
        <w:rPr>
          <w:rFonts w:ascii="宋体" w:hAnsi="宋体" w:eastAsia="宋体" w:cs="宋体"/>
          <w:sz w:val="24"/>
          <w:u w:val="single"/>
        </w:rPr>
      </w:pPr>
    </w:p>
    <w:p>
      <w:pPr>
        <w:spacing w:line="360" w:lineRule="auto"/>
        <w:jc w:val="left"/>
        <w:rPr>
          <w:rFonts w:ascii="宋体" w:hAnsi="宋体" w:eastAsia="宋体" w:cs="宋体"/>
          <w:sz w:val="24"/>
          <w:u w:val="single"/>
        </w:rPr>
      </w:pPr>
    </w:p>
    <w:p>
      <w:pPr>
        <w:spacing w:line="480" w:lineRule="auto"/>
        <w:ind w:firstLine="1687" w:firstLineChars="700"/>
        <w:jc w:val="left"/>
        <w:rPr>
          <w:rFonts w:ascii="宋体" w:hAnsi="宋体" w:eastAsia="宋体" w:cs="宋体"/>
          <w:b/>
          <w:bCs/>
          <w:sz w:val="24"/>
        </w:rPr>
      </w:pPr>
      <w:r>
        <w:rPr>
          <w:rFonts w:hint="eastAsia" w:ascii="宋体" w:hAnsi="宋体" w:eastAsia="宋体" w:cs="宋体"/>
          <w:b/>
          <w:bCs/>
          <w:kern w:val="0"/>
          <w:sz w:val="24"/>
        </w:rPr>
        <w:t>投  标   人</w:t>
      </w:r>
      <w:r>
        <w:rPr>
          <w:rFonts w:hint="eastAsia" w:ascii="宋体" w:hAnsi="宋体" w:eastAsia="宋体" w:cs="宋体"/>
          <w:b/>
          <w:bCs/>
          <w:sz w:val="24"/>
        </w:rPr>
        <w:t>：</w:t>
      </w:r>
      <w:r>
        <w:rPr>
          <w:rFonts w:hint="eastAsia" w:ascii="宋体" w:hAnsi="宋体" w:eastAsia="宋体" w:cs="宋体"/>
          <w:b/>
          <w:bCs/>
          <w:sz w:val="24"/>
          <w:u w:val="single"/>
        </w:rPr>
        <w:t xml:space="preserve">                   </w:t>
      </w:r>
      <w:r>
        <w:rPr>
          <w:rFonts w:hint="eastAsia" w:ascii="宋体" w:hAnsi="宋体" w:eastAsia="宋体" w:cs="宋体"/>
          <w:b/>
          <w:bCs/>
          <w:sz w:val="24"/>
        </w:rPr>
        <w:t xml:space="preserve">（企业电子签章）    </w:t>
      </w:r>
    </w:p>
    <w:p>
      <w:pPr>
        <w:spacing w:line="480" w:lineRule="auto"/>
        <w:jc w:val="left"/>
        <w:rPr>
          <w:rFonts w:ascii="宋体" w:hAnsi="宋体" w:eastAsia="宋体" w:cs="宋体"/>
          <w:b/>
          <w:bCs/>
          <w:sz w:val="24"/>
        </w:rPr>
      </w:pPr>
      <w:r>
        <w:rPr>
          <w:rFonts w:hint="eastAsia" w:ascii="宋体" w:hAnsi="宋体" w:eastAsia="宋体" w:cs="宋体"/>
          <w:b/>
          <w:bCs/>
          <w:sz w:val="24"/>
        </w:rPr>
        <w:t xml:space="preserve">              法定代表人（负责人） ：</w:t>
      </w:r>
      <w:r>
        <w:rPr>
          <w:rFonts w:hint="eastAsia" w:ascii="宋体" w:hAnsi="宋体" w:eastAsia="宋体" w:cs="宋体"/>
          <w:b/>
          <w:bCs/>
          <w:sz w:val="24"/>
          <w:u w:val="single"/>
        </w:rPr>
        <w:t xml:space="preserve">         </w:t>
      </w:r>
      <w:r>
        <w:rPr>
          <w:rFonts w:hint="eastAsia" w:ascii="宋体" w:hAnsi="宋体" w:eastAsia="宋体" w:cs="宋体"/>
          <w:b/>
          <w:bCs/>
          <w:sz w:val="24"/>
        </w:rPr>
        <w:t>（</w:t>
      </w:r>
      <w:r>
        <w:rPr>
          <w:rFonts w:hint="eastAsia" w:ascii="宋体" w:hAnsi="宋体" w:eastAsia="宋体" w:cs="宋体"/>
          <w:b/>
          <w:bCs/>
          <w:kern w:val="1"/>
          <w:sz w:val="24"/>
        </w:rPr>
        <w:t>个人电子签章或签名</w:t>
      </w:r>
      <w:r>
        <w:rPr>
          <w:rFonts w:hint="eastAsia" w:ascii="宋体" w:hAnsi="宋体" w:eastAsia="宋体" w:cs="宋体"/>
          <w:b/>
          <w:bCs/>
          <w:sz w:val="24"/>
        </w:rPr>
        <w:t>）</w:t>
      </w:r>
    </w:p>
    <w:p>
      <w:pPr>
        <w:spacing w:line="480" w:lineRule="auto"/>
        <w:jc w:val="left"/>
        <w:rPr>
          <w:rFonts w:ascii="宋体" w:hAnsi="宋体" w:eastAsia="宋体" w:cs="宋体"/>
          <w:b/>
          <w:bCs/>
          <w:sz w:val="24"/>
        </w:rPr>
      </w:pPr>
      <w:r>
        <w:rPr>
          <w:rFonts w:hint="eastAsia" w:ascii="宋体" w:hAnsi="宋体" w:eastAsia="宋体" w:cs="宋体"/>
          <w:b/>
          <w:bCs/>
          <w:sz w:val="24"/>
        </w:rPr>
        <w:t xml:space="preserve">              日       期：</w:t>
      </w:r>
      <w:r>
        <w:rPr>
          <w:rFonts w:hint="eastAsia" w:ascii="宋体" w:hAnsi="宋体" w:eastAsia="宋体" w:cs="宋体"/>
          <w:b/>
          <w:bCs/>
          <w:sz w:val="24"/>
          <w:u w:val="single"/>
        </w:rPr>
        <w:t xml:space="preserve">      </w:t>
      </w:r>
      <w:r>
        <w:rPr>
          <w:rFonts w:hint="eastAsia" w:ascii="宋体" w:hAnsi="宋体" w:eastAsia="宋体" w:cs="宋体"/>
          <w:b/>
          <w:bCs/>
          <w:sz w:val="24"/>
        </w:rPr>
        <w:t>年</w:t>
      </w:r>
      <w:r>
        <w:rPr>
          <w:rFonts w:hint="eastAsia" w:ascii="宋体" w:hAnsi="宋体" w:eastAsia="宋体" w:cs="宋体"/>
          <w:b/>
          <w:bCs/>
          <w:sz w:val="24"/>
          <w:u w:val="single"/>
        </w:rPr>
        <w:t xml:space="preserve">      </w:t>
      </w:r>
      <w:r>
        <w:rPr>
          <w:rFonts w:hint="eastAsia" w:ascii="宋体" w:hAnsi="宋体" w:eastAsia="宋体" w:cs="宋体"/>
          <w:b/>
          <w:bCs/>
          <w:sz w:val="24"/>
        </w:rPr>
        <w:t>月</w:t>
      </w:r>
      <w:r>
        <w:rPr>
          <w:rFonts w:hint="eastAsia" w:ascii="宋体" w:hAnsi="宋体" w:eastAsia="宋体" w:cs="宋体"/>
          <w:b/>
          <w:bCs/>
          <w:sz w:val="24"/>
          <w:u w:val="single"/>
        </w:rPr>
        <w:t xml:space="preserve">      </w:t>
      </w:r>
      <w:r>
        <w:rPr>
          <w:rFonts w:hint="eastAsia" w:ascii="宋体" w:hAnsi="宋体" w:eastAsia="宋体" w:cs="宋体"/>
          <w:b/>
          <w:bCs/>
          <w:sz w:val="24"/>
        </w:rPr>
        <w:t>日</w:t>
      </w:r>
    </w:p>
    <w:p>
      <w:pPr>
        <w:rPr>
          <w:rFonts w:ascii="宋体" w:hAnsi="宋体" w:eastAsia="宋体" w:cs="宋体"/>
        </w:rPr>
      </w:pPr>
      <w:r>
        <w:rPr>
          <w:rFonts w:hint="eastAsia" w:ascii="宋体" w:hAnsi="宋体" w:eastAsia="宋体" w:cs="宋体"/>
        </w:rPr>
        <w:br w:type="page"/>
      </w:r>
    </w:p>
    <w:p>
      <w:pPr>
        <w:spacing w:line="360" w:lineRule="auto"/>
        <w:jc w:val="center"/>
        <w:outlineLvl w:val="1"/>
        <w:rPr>
          <w:rFonts w:ascii="宋体" w:hAnsi="宋体" w:eastAsia="宋体" w:cs="宋体"/>
          <w:b/>
          <w:sz w:val="30"/>
          <w:szCs w:val="30"/>
        </w:rPr>
      </w:pPr>
      <w:bookmarkStart w:id="167" w:name="_Toc28904"/>
      <w:bookmarkStart w:id="168" w:name="_Toc1482"/>
      <w:bookmarkStart w:id="169" w:name="_Toc1982008"/>
      <w:bookmarkStart w:id="170" w:name="_Toc88158595"/>
      <w:r>
        <w:rPr>
          <w:rFonts w:hint="eastAsia" w:ascii="宋体" w:hAnsi="宋体" w:eastAsia="宋体" w:cs="宋体"/>
          <w:b/>
          <w:sz w:val="30"/>
          <w:szCs w:val="30"/>
        </w:rPr>
        <w:t>一、投标函及投标函附录</w:t>
      </w:r>
      <w:bookmarkEnd w:id="167"/>
      <w:bookmarkEnd w:id="168"/>
      <w:bookmarkEnd w:id="169"/>
      <w:bookmarkEnd w:id="170"/>
    </w:p>
    <w:p>
      <w:pPr>
        <w:spacing w:line="360" w:lineRule="auto"/>
        <w:jc w:val="center"/>
        <w:rPr>
          <w:rFonts w:ascii="宋体" w:hAnsi="宋体" w:eastAsia="宋体" w:cs="宋体"/>
          <w:b/>
          <w:szCs w:val="21"/>
        </w:rPr>
      </w:pPr>
      <w:r>
        <w:rPr>
          <w:rFonts w:hint="eastAsia" w:ascii="宋体" w:hAnsi="宋体" w:eastAsia="宋体" w:cs="宋体"/>
          <w:b/>
          <w:szCs w:val="21"/>
        </w:rPr>
        <w:t>（一）投标函</w:t>
      </w:r>
    </w:p>
    <w:p>
      <w:pPr>
        <w:spacing w:line="400" w:lineRule="exact"/>
        <w:rPr>
          <w:rFonts w:ascii="宋体" w:hAnsi="宋体" w:eastAsia="宋体" w:cs="宋体"/>
          <w:szCs w:val="21"/>
        </w:rPr>
      </w:pPr>
      <w:r>
        <w:rPr>
          <w:rFonts w:hint="eastAsia" w:ascii="宋体" w:hAnsi="宋体" w:eastAsia="宋体" w:cs="宋体"/>
          <w:szCs w:val="21"/>
        </w:rPr>
        <w:t xml:space="preserve">致： </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spacing w:line="400" w:lineRule="exact"/>
        <w:ind w:firstLine="420" w:firstLineChars="200"/>
        <w:rPr>
          <w:rFonts w:ascii="宋体" w:hAnsi="宋体" w:eastAsia="宋体" w:cs="宋体"/>
          <w:szCs w:val="21"/>
        </w:rPr>
      </w:pPr>
      <w:r>
        <w:rPr>
          <w:rFonts w:hint="eastAsia" w:ascii="宋体" w:hAnsi="宋体" w:eastAsia="宋体" w:cs="宋体"/>
          <w:szCs w:val="21"/>
        </w:rPr>
        <w:t>我们收到了项目编号</w:t>
      </w:r>
      <w:r>
        <w:rPr>
          <w:rFonts w:hint="eastAsia" w:ascii="宋体" w:hAnsi="宋体" w:eastAsia="宋体" w:cs="宋体"/>
          <w:szCs w:val="21"/>
          <w:u w:val="single"/>
        </w:rPr>
        <w:t xml:space="preserve">            </w:t>
      </w:r>
      <w:r>
        <w:rPr>
          <w:rFonts w:hint="eastAsia" w:ascii="宋体" w:hAnsi="宋体" w:eastAsia="宋体" w:cs="宋体"/>
          <w:szCs w:val="21"/>
        </w:rPr>
        <w:t>的招标文件，经详细研究，我们决定参加</w:t>
      </w:r>
      <w:r>
        <w:rPr>
          <w:rFonts w:hint="eastAsia" w:ascii="宋体" w:hAnsi="宋体" w:eastAsia="宋体" w:cs="宋体"/>
          <w:b/>
          <w:bCs/>
          <w:sz w:val="24"/>
          <w:u w:val="single"/>
        </w:rPr>
        <w:t xml:space="preserve">          </w:t>
      </w:r>
      <w:r>
        <w:rPr>
          <w:rFonts w:hint="eastAsia" w:ascii="宋体" w:hAnsi="宋体" w:eastAsia="宋体" w:cs="宋体"/>
          <w:szCs w:val="21"/>
        </w:rPr>
        <w:t>（项目名称）投标活动并投标，我们郑重声明以下诸点并负法律责任。</w:t>
      </w:r>
    </w:p>
    <w:p>
      <w:pPr>
        <w:spacing w:line="400" w:lineRule="exact"/>
        <w:ind w:firstLine="420" w:firstLineChars="200"/>
        <w:rPr>
          <w:rFonts w:ascii="宋体" w:hAnsi="宋体" w:eastAsia="宋体" w:cs="宋体"/>
          <w:szCs w:val="21"/>
        </w:rPr>
      </w:pPr>
      <w:r>
        <w:rPr>
          <w:rFonts w:hint="eastAsia" w:ascii="宋体" w:hAnsi="宋体" w:eastAsia="宋体" w:cs="宋体"/>
          <w:szCs w:val="21"/>
        </w:rPr>
        <w:t>1、愿按照招标文件中的条款和要求，服务期限</w:t>
      </w:r>
      <w:r>
        <w:rPr>
          <w:rFonts w:hint="eastAsia" w:ascii="宋体" w:hAnsi="宋体" w:eastAsia="宋体" w:cs="宋体"/>
        </w:rPr>
        <w:t>____________</w:t>
      </w:r>
      <w:r>
        <w:rPr>
          <w:rFonts w:hint="eastAsia" w:ascii="宋体" w:hAnsi="宋体" w:eastAsia="宋体" w:cs="宋体"/>
          <w:szCs w:val="21"/>
        </w:rPr>
        <w:t>年（如国家和上级政策有变化的，应遵照政策要求执行；如无政策调整，服务期满后，银行无违规行为的按照每一个年度依次顺延；出现违规行为且整改不力的，解除协议，自动终止银行新建商品房预售资金监管业务资格），质量标准</w:t>
      </w:r>
      <w:r>
        <w:rPr>
          <w:rFonts w:hint="eastAsia" w:ascii="宋体" w:hAnsi="宋体" w:eastAsia="宋体" w:cs="宋体"/>
        </w:rPr>
        <w:t>____________</w:t>
      </w:r>
      <w:r>
        <w:rPr>
          <w:rFonts w:hint="eastAsia" w:ascii="宋体" w:hAnsi="宋体" w:eastAsia="宋体" w:cs="宋体"/>
          <w:szCs w:val="21"/>
        </w:rPr>
        <w:t>参加投标。</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2.我方承诺在招标文件规定投标有效期（投标截止时间起90日历天）内不撤销投标文件。</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3．如我方中标，我方承诺：</w:t>
      </w:r>
    </w:p>
    <w:p>
      <w:pPr>
        <w:spacing w:line="400" w:lineRule="exact"/>
        <w:ind w:firstLine="420" w:firstLineChars="200"/>
        <w:rPr>
          <w:rFonts w:ascii="宋体" w:hAnsi="宋体" w:eastAsia="宋体" w:cs="宋体"/>
          <w:szCs w:val="21"/>
        </w:rPr>
      </w:pPr>
      <w:r>
        <w:rPr>
          <w:rFonts w:hint="eastAsia" w:ascii="宋体" w:hAnsi="宋体" w:eastAsia="宋体" w:cs="宋体"/>
          <w:szCs w:val="21"/>
        </w:rPr>
        <w:t>(l）在收到中标通知书后，在中标通知书规定的期限内与你方签订合同；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(2）在签订合同时不向你方提出附加条件；</w:t>
      </w:r>
    </w:p>
    <w:p>
      <w:pPr>
        <w:spacing w:line="40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我方同意将按照“投标人须知前附表”规定全额支付本次招标代理费用给招标代理公司。</w:t>
      </w:r>
    </w:p>
    <w:p>
      <w:pPr>
        <w:spacing w:line="400" w:lineRule="exact"/>
        <w:ind w:firstLine="420" w:firstLineChars="200"/>
        <w:rPr>
          <w:rFonts w:ascii="宋体" w:hAnsi="宋体" w:eastAsia="宋体" w:cs="宋体"/>
          <w:szCs w:val="21"/>
        </w:rPr>
      </w:pPr>
      <w:r>
        <w:rPr>
          <w:rFonts w:hint="eastAsia" w:ascii="宋体" w:hAnsi="宋体" w:eastAsia="宋体" w:cs="宋体"/>
          <w:szCs w:val="21"/>
        </w:rPr>
        <w:t>(4）在合同约定的期限内完成合同规定的全部义务。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4．我方在此声明，所递交的投标文件及有关资料内容完整、真实和准确，且不存在第二章“投标人须知”第1.4.3项规定的任何一种情形。</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5.   </w:t>
      </w:r>
      <w:r>
        <w:rPr>
          <w:rFonts w:hint="eastAsia" w:ascii="宋体" w:hAnsi="宋体" w:eastAsia="宋体" w:cs="宋体"/>
          <w:szCs w:val="21"/>
          <w:u w:val="single"/>
        </w:rPr>
        <w:t xml:space="preserve">                </w:t>
      </w:r>
      <w:r>
        <w:rPr>
          <w:rFonts w:hint="eastAsia" w:ascii="宋体" w:hAnsi="宋体" w:eastAsia="宋体" w:cs="宋体"/>
          <w:szCs w:val="21"/>
        </w:rPr>
        <w:t>（其他补充说明）。</w:t>
      </w:r>
    </w:p>
    <w:p>
      <w:pPr>
        <w:spacing w:line="360" w:lineRule="auto"/>
        <w:ind w:right="920" w:firstLine="4418" w:firstLineChars="2104"/>
        <w:rPr>
          <w:rFonts w:ascii="宋体" w:hAnsi="宋体" w:eastAsia="宋体" w:cs="宋体"/>
        </w:rPr>
      </w:pPr>
    </w:p>
    <w:p>
      <w:pPr>
        <w:spacing w:line="360" w:lineRule="auto"/>
        <w:ind w:right="920" w:firstLine="4418" w:firstLineChars="2104"/>
        <w:rPr>
          <w:rFonts w:ascii="宋体" w:hAnsi="宋体" w:eastAsia="宋体" w:cs="宋体"/>
        </w:rPr>
      </w:pPr>
    </w:p>
    <w:p>
      <w:pPr>
        <w:spacing w:line="360" w:lineRule="auto"/>
        <w:ind w:right="920" w:firstLine="3990" w:firstLineChars="1900"/>
        <w:rPr>
          <w:rFonts w:ascii="宋体" w:hAnsi="宋体" w:eastAsia="宋体" w:cs="宋体"/>
        </w:rPr>
      </w:pPr>
      <w:r>
        <w:rPr>
          <w:rFonts w:hint="eastAsia" w:ascii="宋体" w:hAnsi="宋体" w:eastAsia="宋体" w:cs="宋体"/>
        </w:rPr>
        <w:t>投标人名称：____________（企业电子签章）</w:t>
      </w:r>
    </w:p>
    <w:p>
      <w:pPr>
        <w:spacing w:line="360" w:lineRule="auto"/>
        <w:ind w:right="920" w:firstLine="3150" w:firstLineChars="1500"/>
        <w:rPr>
          <w:rFonts w:ascii="宋体" w:hAnsi="宋体" w:eastAsia="宋体" w:cs="宋体"/>
        </w:rPr>
      </w:pPr>
      <w:r>
        <w:rPr>
          <w:rFonts w:hint="eastAsia" w:ascii="宋体" w:hAnsi="宋体" w:eastAsia="宋体" w:cs="宋体"/>
        </w:rPr>
        <w:t>法定代表人（负责人）：____________（</w:t>
      </w:r>
      <w:r>
        <w:rPr>
          <w:rFonts w:hint="eastAsia" w:ascii="宋体" w:hAnsi="宋体" w:eastAsia="宋体" w:cs="宋体"/>
          <w:szCs w:val="21"/>
        </w:rPr>
        <w:t>个人电子签章或签名</w:t>
      </w:r>
      <w:r>
        <w:rPr>
          <w:rFonts w:hint="eastAsia" w:ascii="宋体" w:hAnsi="宋体" w:eastAsia="宋体" w:cs="宋体"/>
        </w:rPr>
        <w:t>）</w:t>
      </w:r>
    </w:p>
    <w:p>
      <w:pPr>
        <w:spacing w:line="360" w:lineRule="auto"/>
        <w:ind w:left="420"/>
        <w:rPr>
          <w:rFonts w:ascii="宋体" w:hAnsi="宋体" w:eastAsia="宋体" w:cs="宋体"/>
        </w:rPr>
      </w:pPr>
      <w:r>
        <w:rPr>
          <w:rFonts w:hint="eastAsia" w:ascii="宋体" w:hAnsi="宋体" w:eastAsia="宋体" w:cs="宋体"/>
        </w:rPr>
        <w:t xml:space="preserve">                                  日      期： ____年____月_____日</w:t>
      </w:r>
    </w:p>
    <w:p>
      <w:pPr>
        <w:spacing w:line="360" w:lineRule="auto"/>
        <w:ind w:left="420"/>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9"/>
        <w:spacing w:line="240" w:lineRule="auto"/>
        <w:ind w:firstLine="138"/>
        <w:jc w:val="center"/>
        <w:rPr>
          <w:rFonts w:ascii="宋体" w:hAnsi="宋体" w:eastAsia="宋体" w:cs="宋体"/>
          <w:b/>
        </w:rPr>
      </w:pPr>
      <w:bookmarkStart w:id="171" w:name="_Toc11018"/>
      <w:bookmarkStart w:id="172" w:name="_Toc6415"/>
      <w:bookmarkStart w:id="173" w:name="_Toc31038"/>
      <w:bookmarkStart w:id="174" w:name="_Toc20537"/>
      <w:bookmarkStart w:id="175" w:name="_Toc5156"/>
      <w:bookmarkStart w:id="176" w:name="_Toc10153"/>
      <w:bookmarkStart w:id="177" w:name="_Toc23593"/>
      <w:bookmarkStart w:id="178" w:name="_Toc16207"/>
      <w:r>
        <w:rPr>
          <w:rFonts w:hint="eastAsia" w:ascii="宋体" w:hAnsi="宋体" w:eastAsia="宋体" w:cs="宋体"/>
          <w:b/>
        </w:rPr>
        <w:t>（二）投标函附录</w:t>
      </w:r>
      <w:bookmarkEnd w:id="171"/>
      <w:bookmarkEnd w:id="172"/>
      <w:bookmarkEnd w:id="173"/>
      <w:bookmarkEnd w:id="174"/>
      <w:bookmarkEnd w:id="175"/>
      <w:bookmarkEnd w:id="176"/>
      <w:bookmarkEnd w:id="177"/>
      <w:bookmarkEnd w:id="17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cs="宋体"/>
                <w:sz w:val="24"/>
              </w:rPr>
            </w:pPr>
            <w:r>
              <w:rPr>
                <w:rFonts w:hint="eastAsia" w:ascii="宋体" w:hAnsi="宋体" w:eastAsia="宋体" w:cs="宋体"/>
                <w:szCs w:val="21"/>
              </w:rPr>
              <w:t>项目名称</w:t>
            </w:r>
          </w:p>
        </w:tc>
        <w:tc>
          <w:tcPr>
            <w:tcW w:w="6279" w:type="dxa"/>
            <w:tcBorders>
              <w:top w:val="single" w:color="auto" w:sz="4" w:space="0"/>
              <w:left w:val="single" w:color="auto" w:sz="4" w:space="0"/>
              <w:bottom w:val="single" w:color="auto" w:sz="4" w:space="0"/>
              <w:right w:val="single" w:color="auto" w:sz="4" w:space="0"/>
            </w:tcBorders>
            <w:vAlign w:val="center"/>
          </w:tcPr>
          <w:p>
            <w:pPr>
              <w:spacing w:before="120" w:after="120"/>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 w:val="24"/>
              </w:rPr>
            </w:pPr>
            <w:r>
              <w:rPr>
                <w:rFonts w:hint="eastAsia" w:ascii="宋体" w:hAnsi="宋体" w:eastAsia="宋体" w:cs="宋体"/>
                <w:szCs w:val="21"/>
              </w:rPr>
              <w:t>投标人名称</w:t>
            </w:r>
          </w:p>
        </w:tc>
        <w:tc>
          <w:tcPr>
            <w:tcW w:w="6279"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 w:val="24"/>
              </w:rPr>
            </w:pPr>
            <w:r>
              <w:rPr>
                <w:rFonts w:hint="eastAsia" w:ascii="宋体" w:hAnsi="宋体" w:eastAsia="宋体" w:cs="宋体"/>
                <w:szCs w:val="21"/>
              </w:rPr>
              <w:t>服务内容</w:t>
            </w:r>
          </w:p>
        </w:tc>
        <w:tc>
          <w:tcPr>
            <w:tcW w:w="62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Cs w:val="21"/>
              </w:rPr>
            </w:pPr>
            <w:r>
              <w:rPr>
                <w:rFonts w:hint="eastAsia" w:ascii="宋体" w:hAnsi="宋体" w:eastAsia="宋体" w:cs="宋体"/>
                <w:szCs w:val="21"/>
              </w:rPr>
              <w:t>项目负责人</w:t>
            </w:r>
          </w:p>
        </w:tc>
        <w:tc>
          <w:tcPr>
            <w:tcW w:w="6279"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ind w:firstLine="420"/>
              <w:jc w:val="center"/>
              <w:rPr>
                <w:rFonts w:ascii="宋体" w:hAnsi="宋体" w:eastAsia="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Cs w:val="21"/>
              </w:rPr>
            </w:pPr>
            <w:r>
              <w:rPr>
                <w:rFonts w:hint="eastAsia" w:ascii="宋体" w:hAnsi="宋体" w:eastAsia="宋体" w:cs="宋体"/>
                <w:szCs w:val="21"/>
              </w:rPr>
              <w:t>服务期限</w:t>
            </w:r>
          </w:p>
        </w:tc>
        <w:tc>
          <w:tcPr>
            <w:tcW w:w="6279"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rPr>
                <w:rFonts w:ascii="宋体" w:hAnsi="宋体" w:eastAsia="宋体" w:cs="宋体"/>
                <w:szCs w:val="21"/>
                <w:u w:val="single"/>
              </w:rPr>
            </w:pPr>
            <w:r>
              <w:rPr>
                <w:rFonts w:hint="eastAsia" w:ascii="宋体" w:hAnsi="宋体" w:eastAsia="宋体" w:cs="宋体"/>
              </w:rPr>
              <w:t>________</w:t>
            </w:r>
            <w:r>
              <w:rPr>
                <w:rFonts w:hint="eastAsia" w:ascii="宋体" w:hAnsi="宋体" w:eastAsia="宋体" w:cs="宋体"/>
                <w:szCs w:val="21"/>
              </w:rPr>
              <w:t>年（如国家和上级政策有变化的，应遵照政策要求执行；如无政策调整，服务期满后，银行无违规行为的按照每一个年度依次顺延；出现违规行为且整改不力的，解除协议，自动终止银行新建商品房预售资金监管业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Cs w:val="21"/>
              </w:rPr>
            </w:pPr>
            <w:r>
              <w:rPr>
                <w:rFonts w:hint="eastAsia" w:ascii="宋体" w:hAnsi="宋体" w:eastAsia="宋体" w:cs="宋体"/>
                <w:szCs w:val="21"/>
              </w:rPr>
              <w:t>服务范围</w:t>
            </w:r>
          </w:p>
        </w:tc>
        <w:tc>
          <w:tcPr>
            <w:tcW w:w="6279"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ind w:firstLine="420"/>
              <w:jc w:val="center"/>
              <w:rPr>
                <w:rFonts w:ascii="宋体" w:hAnsi="宋体" w:eastAsia="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Cs w:val="21"/>
              </w:rPr>
            </w:pPr>
            <w:r>
              <w:rPr>
                <w:rFonts w:hint="eastAsia" w:ascii="宋体" w:hAnsi="宋体" w:eastAsia="宋体" w:cs="宋体"/>
                <w:szCs w:val="21"/>
              </w:rPr>
              <w:t>质量标准</w:t>
            </w:r>
          </w:p>
        </w:tc>
        <w:tc>
          <w:tcPr>
            <w:tcW w:w="6279"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ind w:firstLine="420"/>
              <w:jc w:val="center"/>
              <w:rPr>
                <w:rFonts w:ascii="宋体" w:hAnsi="宋体" w:eastAsia="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Cs w:val="21"/>
              </w:rPr>
            </w:pPr>
            <w:r>
              <w:rPr>
                <w:rFonts w:hint="eastAsia" w:ascii="宋体" w:hAnsi="宋体" w:eastAsia="宋体" w:cs="宋体"/>
                <w:szCs w:val="21"/>
              </w:rPr>
              <w:t>投标有效期</w:t>
            </w:r>
          </w:p>
        </w:tc>
        <w:tc>
          <w:tcPr>
            <w:tcW w:w="6279"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2441"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jc w:val="center"/>
              <w:rPr>
                <w:rFonts w:ascii="宋体" w:hAnsi="宋体" w:eastAsia="宋体" w:cs="宋体"/>
                <w:szCs w:val="21"/>
              </w:rPr>
            </w:pPr>
            <w:r>
              <w:rPr>
                <w:rFonts w:hint="eastAsia" w:ascii="宋体" w:hAnsi="宋体" w:eastAsia="宋体" w:cs="宋体"/>
                <w:szCs w:val="21"/>
              </w:rPr>
              <w:t>备注</w:t>
            </w:r>
          </w:p>
        </w:tc>
        <w:tc>
          <w:tcPr>
            <w:tcW w:w="6279" w:type="dxa"/>
            <w:tcBorders>
              <w:top w:val="single" w:color="auto" w:sz="4" w:space="0"/>
              <w:left w:val="single" w:color="auto" w:sz="4" w:space="0"/>
              <w:bottom w:val="single" w:color="auto" w:sz="4" w:space="0"/>
              <w:right w:val="single" w:color="auto" w:sz="4" w:space="0"/>
            </w:tcBorders>
            <w:vAlign w:val="center"/>
          </w:tcPr>
          <w:p>
            <w:pPr>
              <w:tabs>
                <w:tab w:val="left" w:pos="2340"/>
              </w:tabs>
              <w:spacing w:before="120" w:after="120"/>
              <w:ind w:firstLine="480"/>
              <w:jc w:val="center"/>
              <w:rPr>
                <w:rFonts w:ascii="宋体" w:hAnsi="宋体" w:eastAsia="宋体" w:cs="宋体"/>
                <w:sz w:val="24"/>
              </w:rPr>
            </w:pPr>
          </w:p>
        </w:tc>
      </w:tr>
    </w:tbl>
    <w:p>
      <w:pPr>
        <w:pStyle w:val="13"/>
        <w:rPr>
          <w:rFonts w:eastAsia="宋体" w:cs="宋体"/>
        </w:rPr>
      </w:pPr>
    </w:p>
    <w:p>
      <w:pPr>
        <w:pStyle w:val="13"/>
        <w:rPr>
          <w:rFonts w:eastAsia="宋体" w:cs="宋体"/>
        </w:rPr>
      </w:pPr>
    </w:p>
    <w:p>
      <w:pPr>
        <w:spacing w:line="360" w:lineRule="auto"/>
        <w:ind w:right="920" w:firstLine="3990" w:firstLineChars="1900"/>
        <w:rPr>
          <w:rFonts w:ascii="宋体" w:hAnsi="宋体" w:eastAsia="宋体" w:cs="宋体"/>
        </w:rPr>
      </w:pPr>
      <w:r>
        <w:rPr>
          <w:rFonts w:hint="eastAsia" w:ascii="宋体" w:hAnsi="宋体" w:eastAsia="宋体" w:cs="宋体"/>
        </w:rPr>
        <w:t>投标人名称：____________（企业电子签章）</w:t>
      </w:r>
    </w:p>
    <w:p>
      <w:pPr>
        <w:spacing w:line="360" w:lineRule="auto"/>
        <w:ind w:right="920" w:firstLine="3150" w:firstLineChars="1500"/>
        <w:rPr>
          <w:rFonts w:ascii="宋体" w:hAnsi="宋体" w:eastAsia="宋体" w:cs="宋体"/>
        </w:rPr>
      </w:pPr>
      <w:r>
        <w:rPr>
          <w:rFonts w:hint="eastAsia" w:ascii="宋体" w:hAnsi="宋体" w:eastAsia="宋体" w:cs="宋体"/>
        </w:rPr>
        <w:t>法定代表人（负责人）：____________（</w:t>
      </w:r>
      <w:r>
        <w:rPr>
          <w:rFonts w:hint="eastAsia" w:ascii="宋体" w:hAnsi="宋体" w:eastAsia="宋体" w:cs="宋体"/>
          <w:szCs w:val="21"/>
        </w:rPr>
        <w:t>个人电子签章或签名</w:t>
      </w:r>
      <w:r>
        <w:rPr>
          <w:rFonts w:hint="eastAsia" w:ascii="宋体" w:hAnsi="宋体" w:eastAsia="宋体" w:cs="宋体"/>
        </w:rPr>
        <w:t>）</w:t>
      </w:r>
    </w:p>
    <w:p>
      <w:pPr>
        <w:spacing w:line="360" w:lineRule="auto"/>
        <w:ind w:left="420"/>
        <w:rPr>
          <w:rFonts w:ascii="宋体" w:hAnsi="宋体" w:eastAsia="宋体" w:cs="宋体"/>
        </w:rPr>
      </w:pPr>
      <w:r>
        <w:rPr>
          <w:rFonts w:hint="eastAsia" w:ascii="宋体" w:hAnsi="宋体" w:eastAsia="宋体" w:cs="宋体"/>
        </w:rPr>
        <w:t xml:space="preserve">                                  日      期： ____年____月_____日</w:t>
      </w:r>
    </w:p>
    <w:p>
      <w:pPr>
        <w:spacing w:line="360" w:lineRule="auto"/>
        <w:ind w:left="420"/>
        <w:rPr>
          <w:rFonts w:ascii="宋体" w:hAnsi="宋体" w:eastAsia="宋体" w:cs="宋体"/>
        </w:rPr>
      </w:pPr>
    </w:p>
    <w:p>
      <w:pPr>
        <w:rPr>
          <w:rFonts w:ascii="宋体" w:hAnsi="宋体" w:eastAsia="宋体" w:cs="宋体"/>
        </w:rPr>
      </w:pPr>
      <w:r>
        <w:rPr>
          <w:rFonts w:hint="eastAsia" w:ascii="宋体" w:hAnsi="宋体" w:eastAsia="宋体" w:cs="宋体"/>
        </w:rPr>
        <w:br w:type="page"/>
      </w:r>
    </w:p>
    <w:p>
      <w:pPr>
        <w:spacing w:line="360" w:lineRule="auto"/>
        <w:jc w:val="center"/>
        <w:outlineLvl w:val="1"/>
        <w:rPr>
          <w:rFonts w:ascii="宋体" w:hAnsi="宋体" w:eastAsia="宋体" w:cs="宋体"/>
          <w:szCs w:val="21"/>
        </w:rPr>
      </w:pPr>
      <w:bookmarkStart w:id="179" w:name="_Toc1982009"/>
      <w:bookmarkStart w:id="180" w:name="_Toc23357"/>
      <w:bookmarkStart w:id="181" w:name="_Toc88158596"/>
      <w:r>
        <w:rPr>
          <w:rFonts w:hint="eastAsia" w:ascii="宋体" w:hAnsi="宋体" w:eastAsia="宋体" w:cs="宋体"/>
          <w:b/>
          <w:sz w:val="30"/>
          <w:szCs w:val="30"/>
        </w:rPr>
        <w:t>二、法定代表人（负责人）身份证明及授权委托书</w:t>
      </w:r>
      <w:bookmarkEnd w:id="179"/>
      <w:bookmarkEnd w:id="180"/>
      <w:bookmarkEnd w:id="181"/>
    </w:p>
    <w:p>
      <w:pPr>
        <w:spacing w:line="360" w:lineRule="auto"/>
        <w:jc w:val="center"/>
        <w:rPr>
          <w:rFonts w:ascii="宋体" w:hAnsi="宋体" w:eastAsia="宋体" w:cs="宋体"/>
          <w:b/>
          <w:szCs w:val="21"/>
        </w:rPr>
      </w:pPr>
      <w:r>
        <w:rPr>
          <w:rFonts w:hint="eastAsia" w:ascii="宋体" w:hAnsi="宋体" w:eastAsia="宋体" w:cs="宋体"/>
          <w:b/>
          <w:szCs w:val="21"/>
        </w:rPr>
        <w:t>（一）法定代表人（负责人）身份证明</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rPr>
        <w:t>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rPr>
        <w:t>单位性质：</w:t>
      </w:r>
      <w:r>
        <w:rPr>
          <w:rFonts w:hint="eastAsia" w:ascii="宋体" w:hAnsi="宋体" w:eastAsia="宋体" w:cs="宋体"/>
        </w:rPr>
        <w:t>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rPr>
        <w:t>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rPr>
        <w:t>____________</w:t>
      </w:r>
      <w:r>
        <w:rPr>
          <w:rFonts w:hint="eastAsia" w:ascii="宋体" w:hAnsi="宋体" w:eastAsia="宋体" w:cs="宋体"/>
          <w:szCs w:val="21"/>
        </w:rPr>
        <w:t>年</w:t>
      </w:r>
      <w:r>
        <w:rPr>
          <w:rFonts w:hint="eastAsia" w:ascii="宋体" w:hAnsi="宋体" w:eastAsia="宋体" w:cs="宋体"/>
        </w:rPr>
        <w:t>____________</w:t>
      </w:r>
      <w:r>
        <w:rPr>
          <w:rFonts w:hint="eastAsia" w:ascii="宋体" w:hAnsi="宋体" w:eastAsia="宋体" w:cs="宋体"/>
          <w:szCs w:val="21"/>
        </w:rPr>
        <w:t>月</w:t>
      </w:r>
      <w:r>
        <w:rPr>
          <w:rFonts w:hint="eastAsia" w:ascii="宋体" w:hAnsi="宋体" w:eastAsia="宋体" w:cs="宋体"/>
        </w:rPr>
        <w:t>____________</w:t>
      </w:r>
      <w:r>
        <w:rPr>
          <w:rFonts w:hint="eastAsia" w:ascii="宋体" w:hAnsi="宋体" w:eastAsia="宋体" w:cs="宋体"/>
          <w:szCs w:val="21"/>
        </w:rPr>
        <w:t>日</w:t>
      </w:r>
    </w:p>
    <w:p>
      <w:pPr>
        <w:spacing w:line="360" w:lineRule="auto"/>
        <w:ind w:firstLine="420" w:firstLineChars="200"/>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rPr>
        <w:t>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rPr>
        <w:t>____________</w:t>
      </w:r>
      <w:r>
        <w:rPr>
          <w:rFonts w:hint="eastAsia" w:ascii="宋体" w:hAnsi="宋体" w:eastAsia="宋体" w:cs="宋体"/>
          <w:szCs w:val="21"/>
        </w:rPr>
        <w:t>性别：</w:t>
      </w:r>
      <w:r>
        <w:rPr>
          <w:rFonts w:hint="eastAsia" w:ascii="宋体" w:hAnsi="宋体" w:eastAsia="宋体" w:cs="宋体"/>
        </w:rPr>
        <w:t>____________</w:t>
      </w:r>
      <w:r>
        <w:rPr>
          <w:rFonts w:hint="eastAsia" w:ascii="宋体" w:hAnsi="宋体" w:eastAsia="宋体" w:cs="宋体"/>
          <w:szCs w:val="21"/>
        </w:rPr>
        <w:t>年龄：</w:t>
      </w:r>
      <w:r>
        <w:rPr>
          <w:rFonts w:hint="eastAsia" w:ascii="宋体" w:hAnsi="宋体" w:eastAsia="宋体" w:cs="宋体"/>
        </w:rPr>
        <w:t>____________</w:t>
      </w:r>
      <w:r>
        <w:rPr>
          <w:rFonts w:hint="eastAsia" w:ascii="宋体" w:hAnsi="宋体" w:eastAsia="宋体" w:cs="宋体"/>
          <w:szCs w:val="21"/>
        </w:rPr>
        <w:t>职务：</w:t>
      </w:r>
      <w:r>
        <w:rPr>
          <w:rFonts w:hint="eastAsia" w:ascii="宋体" w:hAnsi="宋体" w:eastAsia="宋体" w:cs="宋体"/>
        </w:rPr>
        <w:t>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rPr>
        <w:t>____________</w:t>
      </w:r>
      <w:r>
        <w:rPr>
          <w:rFonts w:hint="eastAsia" w:ascii="宋体" w:hAnsi="宋体" w:eastAsia="宋体" w:cs="宋体"/>
          <w:szCs w:val="21"/>
        </w:rPr>
        <w:t>（投标人名称）的法定代表人或负责人。</w:t>
      </w:r>
    </w:p>
    <w:p>
      <w:pPr>
        <w:spacing w:line="360" w:lineRule="auto"/>
        <w:ind w:firstLine="840" w:firstLineChars="400"/>
        <w:rPr>
          <w:rFonts w:ascii="宋体" w:hAnsi="宋体" w:eastAsia="宋体" w:cs="宋体"/>
          <w:szCs w:val="21"/>
        </w:rPr>
      </w:pPr>
      <w:r>
        <w:rPr>
          <w:rFonts w:hint="eastAsia" w:ascii="宋体" w:hAnsi="宋体" w:eastAsia="宋体" w:cs="宋体"/>
          <w:szCs w:val="21"/>
        </w:rPr>
        <w:t>特此证明。</w:t>
      </w:r>
    </w:p>
    <w:p>
      <w:pPr>
        <w:spacing w:line="360" w:lineRule="auto"/>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szCs w:val="21"/>
          <w:lang w:eastAsia="zh-CN"/>
        </w:rPr>
        <w:t>：</w:t>
      </w:r>
      <w:r>
        <w:rPr>
          <w:rFonts w:hint="eastAsia" w:ascii="宋体" w:hAnsi="宋体" w:eastAsia="宋体" w:cs="宋体"/>
          <w:szCs w:val="21"/>
        </w:rPr>
        <w:t>法定代表人（负责人）身份证复印件</w:t>
      </w:r>
    </w:p>
    <w:p>
      <w:pPr>
        <w:pStyle w:val="13"/>
        <w:rPr>
          <w:rFonts w:eastAsia="宋体" w:cs="宋体"/>
        </w:rPr>
      </w:pPr>
    </w:p>
    <w:p>
      <w:pPr>
        <w:pStyle w:val="13"/>
        <w:rPr>
          <w:rFonts w:eastAsia="宋体" w:cs="宋体"/>
        </w:rPr>
      </w:pPr>
    </w:p>
    <w:p>
      <w:pPr>
        <w:pStyle w:val="13"/>
        <w:rPr>
          <w:rFonts w:eastAsia="宋体" w:cs="宋体"/>
        </w:rPr>
      </w:pPr>
    </w:p>
    <w:p>
      <w:pPr>
        <w:pStyle w:val="13"/>
        <w:rPr>
          <w:rFonts w:eastAsia="宋体" w:cs="宋体"/>
        </w:rPr>
      </w:pPr>
    </w:p>
    <w:p>
      <w:pPr>
        <w:pStyle w:val="13"/>
        <w:rPr>
          <w:rFonts w:eastAsia="宋体" w:cs="宋体"/>
        </w:rPr>
      </w:pPr>
    </w:p>
    <w:p>
      <w:pPr>
        <w:spacing w:line="360" w:lineRule="auto"/>
        <w:ind w:right="920" w:firstLine="3990" w:firstLineChars="1900"/>
        <w:rPr>
          <w:rFonts w:ascii="宋体" w:hAnsi="宋体" w:eastAsia="宋体" w:cs="宋体"/>
        </w:rPr>
      </w:pPr>
      <w:r>
        <w:rPr>
          <w:rFonts w:hint="eastAsia" w:ascii="宋体" w:hAnsi="宋体" w:eastAsia="宋体" w:cs="宋体"/>
        </w:rPr>
        <w:t>投标人名称：____________（企业电子签章）</w:t>
      </w:r>
    </w:p>
    <w:p>
      <w:pPr>
        <w:spacing w:line="360" w:lineRule="auto"/>
        <w:ind w:right="920" w:firstLine="3150" w:firstLineChars="1500"/>
        <w:rPr>
          <w:rFonts w:ascii="宋体" w:hAnsi="宋体" w:eastAsia="宋体" w:cs="宋体"/>
        </w:rPr>
      </w:pPr>
      <w:r>
        <w:rPr>
          <w:rFonts w:hint="eastAsia" w:ascii="宋体" w:hAnsi="宋体" w:eastAsia="宋体" w:cs="宋体"/>
        </w:rPr>
        <w:t>法定代表人（负责人）：____________（</w:t>
      </w:r>
      <w:r>
        <w:rPr>
          <w:rFonts w:hint="eastAsia" w:ascii="宋体" w:hAnsi="宋体" w:eastAsia="宋体" w:cs="宋体"/>
          <w:szCs w:val="21"/>
        </w:rPr>
        <w:t>个人电子签章或签名</w:t>
      </w:r>
      <w:r>
        <w:rPr>
          <w:rFonts w:hint="eastAsia" w:ascii="宋体" w:hAnsi="宋体" w:eastAsia="宋体" w:cs="宋体"/>
        </w:rPr>
        <w:t>）</w:t>
      </w:r>
    </w:p>
    <w:p>
      <w:pPr>
        <w:spacing w:line="360" w:lineRule="auto"/>
        <w:ind w:left="420"/>
        <w:rPr>
          <w:rFonts w:ascii="宋体" w:hAnsi="宋体" w:eastAsia="宋体" w:cs="宋体"/>
        </w:rPr>
      </w:pPr>
      <w:r>
        <w:rPr>
          <w:rFonts w:hint="eastAsia" w:ascii="宋体" w:hAnsi="宋体" w:eastAsia="宋体" w:cs="宋体"/>
        </w:rPr>
        <w:t xml:space="preserve">                                  日      期： ____年____月_____日</w:t>
      </w:r>
    </w:p>
    <w:p>
      <w:pPr>
        <w:spacing w:line="360" w:lineRule="auto"/>
        <w:ind w:left="420"/>
        <w:rPr>
          <w:rFonts w:ascii="宋体" w:hAnsi="宋体" w:eastAsia="宋体" w:cs="宋体"/>
        </w:rPr>
      </w:pPr>
    </w:p>
    <w:p>
      <w:pPr>
        <w:rPr>
          <w:rFonts w:ascii="宋体" w:hAnsi="宋体" w:eastAsia="宋体" w:cs="宋体"/>
        </w:rPr>
      </w:pPr>
      <w:r>
        <w:rPr>
          <w:rFonts w:hint="eastAsia" w:ascii="宋体" w:hAnsi="宋体" w:eastAsia="宋体" w:cs="宋体"/>
        </w:rPr>
        <w:br w:type="page"/>
      </w:r>
    </w:p>
    <w:p>
      <w:pPr>
        <w:spacing w:line="360" w:lineRule="auto"/>
        <w:jc w:val="center"/>
        <w:rPr>
          <w:rFonts w:ascii="宋体" w:hAnsi="宋体" w:eastAsia="宋体" w:cs="宋体"/>
          <w:b/>
          <w:szCs w:val="21"/>
        </w:rPr>
      </w:pPr>
      <w:r>
        <w:rPr>
          <w:rFonts w:hint="eastAsia" w:ascii="宋体" w:hAnsi="宋体" w:eastAsia="宋体" w:cs="宋体"/>
          <w:b/>
          <w:szCs w:val="21"/>
        </w:rPr>
        <w:t>（二）授权委托书</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本人 </w:t>
      </w:r>
      <w:r>
        <w:rPr>
          <w:rFonts w:hint="eastAsia" w:ascii="宋体" w:hAnsi="宋体" w:eastAsia="宋体" w:cs="宋体"/>
        </w:rPr>
        <w:t>______</w:t>
      </w:r>
      <w:r>
        <w:rPr>
          <w:rFonts w:hint="eastAsia" w:ascii="宋体" w:hAnsi="宋体" w:eastAsia="宋体" w:cs="宋体"/>
          <w:szCs w:val="21"/>
        </w:rPr>
        <w:t>（姓名）系</w:t>
      </w:r>
      <w:r>
        <w:rPr>
          <w:rFonts w:hint="eastAsia" w:ascii="宋体" w:hAnsi="宋体" w:eastAsia="宋体" w:cs="宋体"/>
        </w:rPr>
        <w:t>____________</w:t>
      </w:r>
      <w:r>
        <w:rPr>
          <w:rFonts w:hint="eastAsia" w:ascii="宋体" w:hAnsi="宋体" w:eastAsia="宋体" w:cs="宋体"/>
          <w:szCs w:val="21"/>
        </w:rPr>
        <w:t>（投标人名称）的法定代表人</w:t>
      </w:r>
      <w:r>
        <w:rPr>
          <w:rFonts w:hint="eastAsia" w:ascii="宋体" w:hAnsi="宋体" w:eastAsia="宋体" w:cs="宋体"/>
        </w:rPr>
        <w:t>（负责人）</w:t>
      </w:r>
      <w:r>
        <w:rPr>
          <w:rFonts w:hint="eastAsia" w:ascii="宋体" w:hAnsi="宋体" w:eastAsia="宋体" w:cs="宋体"/>
          <w:szCs w:val="21"/>
        </w:rPr>
        <w:t>，现委托</w:t>
      </w:r>
      <w:r>
        <w:rPr>
          <w:rFonts w:hint="eastAsia" w:ascii="宋体" w:hAnsi="宋体" w:eastAsia="宋体" w:cs="宋体"/>
        </w:rPr>
        <w:t>______</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rPr>
        <w:t>____________</w:t>
      </w:r>
      <w:r>
        <w:rPr>
          <w:rFonts w:hint="eastAsia" w:ascii="宋体" w:hAnsi="宋体" w:eastAsia="宋体" w:cs="宋体"/>
          <w:szCs w:val="21"/>
        </w:rPr>
        <w:t>（项目名称）投标文件、签订合同和处理有关事宜，其法律后果由我方承担。</w:t>
      </w:r>
    </w:p>
    <w:p>
      <w:pPr>
        <w:spacing w:line="360" w:lineRule="auto"/>
        <w:ind w:firstLine="420" w:firstLineChars="200"/>
        <w:rPr>
          <w:rFonts w:ascii="宋体" w:hAnsi="宋体" w:eastAsia="宋体" w:cs="宋体"/>
          <w:szCs w:val="21"/>
        </w:rPr>
      </w:pPr>
      <w:r>
        <w:rPr>
          <w:rFonts w:hint="eastAsia" w:ascii="宋体" w:hAnsi="宋体" w:eastAsia="宋体" w:cs="宋体"/>
          <w:szCs w:val="21"/>
        </w:rPr>
        <w:t>委托期限：</w:t>
      </w:r>
      <w:r>
        <w:rPr>
          <w:rFonts w:hint="eastAsia" w:ascii="宋体" w:hAnsi="宋体" w:eastAsia="宋体" w:cs="宋体"/>
        </w:rPr>
        <w:t>____________</w:t>
      </w:r>
    </w:p>
    <w:p>
      <w:pPr>
        <w:spacing w:line="360" w:lineRule="auto"/>
        <w:ind w:firstLine="420" w:firstLineChars="200"/>
        <w:rPr>
          <w:rFonts w:ascii="宋体" w:hAnsi="宋体" w:eastAsia="宋体" w:cs="宋体"/>
          <w:szCs w:val="21"/>
        </w:rPr>
      </w:pPr>
      <w:r>
        <w:rPr>
          <w:rFonts w:hint="eastAsia" w:ascii="宋体" w:hAnsi="宋体" w:eastAsia="宋体" w:cs="宋体"/>
          <w:szCs w:val="21"/>
        </w:rPr>
        <w:t>代理人无转委托权。</w:t>
      </w:r>
    </w:p>
    <w:p>
      <w:pPr>
        <w:spacing w:line="360" w:lineRule="auto"/>
        <w:ind w:firstLine="420" w:firstLineChars="200"/>
        <w:rPr>
          <w:rFonts w:ascii="宋体" w:hAnsi="宋体" w:eastAsia="宋体" w:cs="宋体"/>
          <w:szCs w:val="21"/>
        </w:rPr>
      </w:pPr>
      <w:r>
        <w:rPr>
          <w:rFonts w:hint="eastAsia" w:ascii="宋体" w:hAnsi="宋体" w:eastAsia="宋体" w:cs="宋体"/>
          <w:szCs w:val="21"/>
        </w:rPr>
        <w:t>附：法定代表人（负责人）、被授权人身份证扫描件。</w:t>
      </w:r>
    </w:p>
    <w:p>
      <w:pPr>
        <w:pStyle w:val="13"/>
        <w:rPr>
          <w:rFonts w:eastAsia="宋体" w:cs="宋体"/>
        </w:rPr>
      </w:pPr>
    </w:p>
    <w:p>
      <w:pPr>
        <w:pStyle w:val="13"/>
        <w:rPr>
          <w:rFonts w:eastAsia="宋体" w:cs="宋体"/>
        </w:rPr>
      </w:pPr>
    </w:p>
    <w:p>
      <w:pPr>
        <w:pStyle w:val="13"/>
        <w:rPr>
          <w:rFonts w:eastAsia="宋体" w:cs="宋体"/>
        </w:rPr>
      </w:pPr>
    </w:p>
    <w:p>
      <w:pPr>
        <w:pStyle w:val="13"/>
        <w:rPr>
          <w:rFonts w:eastAsia="宋体" w:cs="宋体"/>
        </w:rPr>
      </w:pPr>
    </w:p>
    <w:p>
      <w:pPr>
        <w:pStyle w:val="13"/>
        <w:rPr>
          <w:rFonts w:eastAsia="宋体" w:cs="宋体"/>
        </w:rPr>
      </w:pPr>
    </w:p>
    <w:p>
      <w:pPr>
        <w:pStyle w:val="13"/>
        <w:rPr>
          <w:rFonts w:eastAsia="宋体" w:cs="宋体"/>
        </w:rPr>
      </w:pPr>
    </w:p>
    <w:p>
      <w:pPr>
        <w:spacing w:line="360" w:lineRule="auto"/>
        <w:ind w:right="920" w:firstLine="3990" w:firstLineChars="1900"/>
        <w:rPr>
          <w:rFonts w:ascii="宋体" w:hAnsi="宋体" w:eastAsia="宋体" w:cs="宋体"/>
        </w:rPr>
      </w:pPr>
      <w:r>
        <w:rPr>
          <w:rFonts w:hint="eastAsia" w:ascii="宋体" w:hAnsi="宋体" w:eastAsia="宋体" w:cs="宋体"/>
        </w:rPr>
        <w:t>投标人名称：____________（企业电子签章）</w:t>
      </w:r>
    </w:p>
    <w:p>
      <w:pPr>
        <w:spacing w:line="360" w:lineRule="auto"/>
        <w:ind w:right="920" w:firstLine="3150" w:firstLineChars="1500"/>
        <w:rPr>
          <w:rFonts w:ascii="宋体" w:hAnsi="宋体" w:eastAsia="宋体" w:cs="宋体"/>
        </w:rPr>
      </w:pPr>
      <w:r>
        <w:rPr>
          <w:rFonts w:hint="eastAsia" w:ascii="宋体" w:hAnsi="宋体" w:eastAsia="宋体" w:cs="宋体"/>
        </w:rPr>
        <w:t>法定代表人（负责人）：____________（</w:t>
      </w:r>
      <w:r>
        <w:rPr>
          <w:rFonts w:hint="eastAsia" w:ascii="宋体" w:hAnsi="宋体" w:eastAsia="宋体" w:cs="宋体"/>
          <w:szCs w:val="21"/>
        </w:rPr>
        <w:t>个人电子签章或签名</w:t>
      </w:r>
      <w:r>
        <w:rPr>
          <w:rFonts w:hint="eastAsia" w:ascii="宋体" w:hAnsi="宋体" w:eastAsia="宋体" w:cs="宋体"/>
        </w:rPr>
        <w:t>）</w:t>
      </w:r>
    </w:p>
    <w:p>
      <w:pPr>
        <w:spacing w:line="360" w:lineRule="auto"/>
        <w:ind w:left="420"/>
        <w:rPr>
          <w:rFonts w:ascii="宋体" w:hAnsi="宋体" w:eastAsia="宋体" w:cs="宋体"/>
        </w:rPr>
      </w:pPr>
      <w:r>
        <w:rPr>
          <w:rFonts w:hint="eastAsia" w:ascii="宋体" w:hAnsi="宋体" w:eastAsia="宋体" w:cs="宋体"/>
        </w:rPr>
        <w:t xml:space="preserve">                                  日      期： ____年____月_____日</w:t>
      </w:r>
    </w:p>
    <w:p>
      <w:pPr>
        <w:rPr>
          <w:rFonts w:ascii="宋体" w:hAnsi="宋体" w:eastAsia="宋体" w:cs="宋体"/>
        </w:rPr>
      </w:pPr>
      <w:r>
        <w:rPr>
          <w:rFonts w:hint="eastAsia" w:ascii="宋体" w:hAnsi="宋体" w:eastAsia="宋体" w:cs="宋体"/>
        </w:rPr>
        <w:br w:type="page"/>
      </w:r>
    </w:p>
    <w:p>
      <w:pPr>
        <w:numPr>
          <w:ilvl w:val="0"/>
          <w:numId w:val="3"/>
        </w:numPr>
        <w:spacing w:line="360" w:lineRule="auto"/>
        <w:jc w:val="center"/>
        <w:outlineLvl w:val="1"/>
        <w:rPr>
          <w:rFonts w:ascii="宋体" w:hAnsi="宋体" w:eastAsia="宋体" w:cs="宋体"/>
          <w:b/>
          <w:sz w:val="30"/>
          <w:szCs w:val="30"/>
        </w:rPr>
      </w:pPr>
      <w:bookmarkStart w:id="182" w:name="_Toc88158598"/>
      <w:bookmarkStart w:id="183" w:name="_Toc16171"/>
      <w:bookmarkStart w:id="184" w:name="_Toc1982011"/>
      <w:r>
        <w:rPr>
          <w:rFonts w:hint="eastAsia" w:ascii="宋体" w:hAnsi="宋体" w:eastAsia="宋体" w:cs="宋体"/>
          <w:b/>
          <w:sz w:val="30"/>
          <w:szCs w:val="30"/>
        </w:rPr>
        <w:t>资格审查资料</w:t>
      </w:r>
      <w:bookmarkEnd w:id="182"/>
      <w:bookmarkEnd w:id="183"/>
      <w:bookmarkEnd w:id="184"/>
    </w:p>
    <w:p>
      <w:pPr>
        <w:pStyle w:val="11"/>
        <w:jc w:val="center"/>
        <w:rPr>
          <w:b/>
          <w:bCs/>
        </w:rPr>
      </w:pPr>
      <w:r>
        <w:rPr>
          <w:rFonts w:hint="eastAsia"/>
          <w:b/>
          <w:bCs/>
        </w:rPr>
        <w:t>投标人基本情况表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989"/>
        <w:gridCol w:w="1190"/>
        <w:gridCol w:w="1405"/>
        <w:gridCol w:w="1405"/>
        <w:gridCol w:w="153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spacing w:line="360" w:lineRule="auto"/>
              <w:jc w:val="center"/>
              <w:rPr>
                <w:rFonts w:ascii="宋体" w:hAnsi="宋体" w:eastAsia="宋体" w:cs="宋体"/>
                <w:szCs w:val="21"/>
              </w:rPr>
            </w:pPr>
            <w:r>
              <w:rPr>
                <w:rFonts w:hint="eastAsia" w:ascii="宋体" w:hAnsi="宋体" w:eastAsia="宋体" w:cs="宋体"/>
                <w:szCs w:val="21"/>
              </w:rPr>
              <w:t>投标人基本名称</w:t>
            </w:r>
          </w:p>
        </w:tc>
        <w:tc>
          <w:tcPr>
            <w:tcW w:w="7803" w:type="dxa"/>
            <w:gridSpan w:val="6"/>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spacing w:line="360" w:lineRule="auto"/>
              <w:jc w:val="center"/>
              <w:rPr>
                <w:rFonts w:ascii="宋体" w:hAnsi="宋体" w:eastAsia="宋体" w:cs="宋体"/>
                <w:szCs w:val="21"/>
              </w:rPr>
            </w:pPr>
            <w:r>
              <w:rPr>
                <w:rFonts w:hint="eastAsia" w:ascii="宋体" w:hAnsi="宋体" w:eastAsia="宋体" w:cs="宋体"/>
                <w:szCs w:val="21"/>
              </w:rPr>
              <w:t>注册地址</w:t>
            </w:r>
          </w:p>
        </w:tc>
        <w:tc>
          <w:tcPr>
            <w:tcW w:w="3584" w:type="dxa"/>
            <w:gridSpan w:val="3"/>
          </w:tcPr>
          <w:p>
            <w:pPr>
              <w:spacing w:line="360" w:lineRule="auto"/>
              <w:rPr>
                <w:rFonts w:ascii="宋体" w:hAnsi="宋体" w:eastAsia="宋体" w:cs="宋体"/>
                <w:szCs w:val="21"/>
              </w:rPr>
            </w:pPr>
          </w:p>
        </w:tc>
        <w:tc>
          <w:tcPr>
            <w:tcW w:w="1405" w:type="dxa"/>
          </w:tcPr>
          <w:p>
            <w:pPr>
              <w:spacing w:line="360" w:lineRule="auto"/>
              <w:jc w:val="center"/>
              <w:rPr>
                <w:rFonts w:ascii="宋体" w:hAnsi="宋体" w:eastAsia="宋体" w:cs="宋体"/>
                <w:szCs w:val="21"/>
              </w:rPr>
            </w:pPr>
            <w:r>
              <w:rPr>
                <w:rFonts w:hint="eastAsia" w:ascii="宋体" w:hAnsi="宋体" w:eastAsia="宋体" w:cs="宋体"/>
                <w:szCs w:val="21"/>
              </w:rPr>
              <w:t>邮政编码</w:t>
            </w:r>
          </w:p>
        </w:tc>
        <w:tc>
          <w:tcPr>
            <w:tcW w:w="2814" w:type="dxa"/>
            <w:gridSpan w:val="2"/>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vMerge w:val="restart"/>
            <w:vAlign w:val="center"/>
          </w:tcPr>
          <w:p>
            <w:pPr>
              <w:spacing w:line="360" w:lineRule="auto"/>
              <w:jc w:val="center"/>
              <w:rPr>
                <w:rFonts w:ascii="宋体" w:hAnsi="宋体" w:eastAsia="宋体" w:cs="宋体"/>
                <w:szCs w:val="21"/>
              </w:rPr>
            </w:pPr>
            <w:r>
              <w:rPr>
                <w:rFonts w:hint="eastAsia" w:ascii="宋体" w:hAnsi="宋体" w:eastAsia="宋体" w:cs="宋体"/>
                <w:szCs w:val="21"/>
              </w:rPr>
              <w:t>联系方式</w:t>
            </w:r>
          </w:p>
        </w:tc>
        <w:tc>
          <w:tcPr>
            <w:tcW w:w="989" w:type="dxa"/>
            <w:vAlign w:val="bottom"/>
          </w:tcPr>
          <w:p>
            <w:pPr>
              <w:widowControl/>
              <w:jc w:val="center"/>
              <w:rPr>
                <w:rFonts w:ascii="宋体" w:hAnsi="宋体" w:eastAsia="宋体" w:cs="宋体"/>
                <w:szCs w:val="21"/>
              </w:rPr>
            </w:pPr>
            <w:r>
              <w:rPr>
                <w:rFonts w:hint="eastAsia" w:ascii="宋体" w:hAnsi="宋体" w:eastAsia="宋体" w:cs="宋体"/>
                <w:color w:val="000000"/>
                <w:kern w:val="0"/>
                <w:sz w:val="20"/>
                <w:szCs w:val="20"/>
              </w:rPr>
              <w:t>联系人</w:t>
            </w:r>
          </w:p>
        </w:tc>
        <w:tc>
          <w:tcPr>
            <w:tcW w:w="2595" w:type="dxa"/>
            <w:gridSpan w:val="2"/>
            <w:vAlign w:val="bottom"/>
          </w:tcPr>
          <w:p>
            <w:pPr>
              <w:spacing w:line="360" w:lineRule="auto"/>
              <w:jc w:val="center"/>
              <w:rPr>
                <w:rFonts w:ascii="宋体" w:hAnsi="宋体" w:eastAsia="宋体" w:cs="宋体"/>
                <w:szCs w:val="21"/>
              </w:rPr>
            </w:pPr>
          </w:p>
        </w:tc>
        <w:tc>
          <w:tcPr>
            <w:tcW w:w="1405" w:type="dxa"/>
            <w:vAlign w:val="bottom"/>
          </w:tcPr>
          <w:p>
            <w:pPr>
              <w:spacing w:line="360" w:lineRule="auto"/>
              <w:jc w:val="center"/>
              <w:rPr>
                <w:rFonts w:ascii="宋体" w:hAnsi="宋体" w:eastAsia="宋体" w:cs="宋体"/>
                <w:szCs w:val="21"/>
              </w:rPr>
            </w:pPr>
            <w:r>
              <w:rPr>
                <w:rFonts w:hint="eastAsia" w:ascii="宋体" w:hAnsi="宋体" w:eastAsia="宋体" w:cs="宋体"/>
                <w:szCs w:val="21"/>
              </w:rPr>
              <w:t>电话</w:t>
            </w:r>
          </w:p>
        </w:tc>
        <w:tc>
          <w:tcPr>
            <w:tcW w:w="2814" w:type="dxa"/>
            <w:gridSpan w:val="2"/>
            <w:vAlign w:val="bottom"/>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vMerge w:val="continue"/>
            <w:vAlign w:val="bottom"/>
          </w:tcPr>
          <w:p>
            <w:pPr>
              <w:spacing w:line="360" w:lineRule="auto"/>
              <w:jc w:val="center"/>
              <w:rPr>
                <w:rFonts w:ascii="宋体" w:hAnsi="宋体" w:eastAsia="宋体" w:cs="宋体"/>
                <w:szCs w:val="21"/>
              </w:rPr>
            </w:pPr>
          </w:p>
        </w:tc>
        <w:tc>
          <w:tcPr>
            <w:tcW w:w="989" w:type="dxa"/>
            <w:vAlign w:val="bottom"/>
          </w:tcPr>
          <w:p>
            <w:pPr>
              <w:widowControl/>
              <w:jc w:val="center"/>
              <w:rPr>
                <w:rFonts w:ascii="宋体" w:hAnsi="宋体" w:eastAsia="宋体" w:cs="宋体"/>
                <w:szCs w:val="21"/>
              </w:rPr>
            </w:pPr>
            <w:r>
              <w:rPr>
                <w:rFonts w:hint="eastAsia" w:ascii="宋体" w:hAnsi="宋体" w:eastAsia="宋体" w:cs="宋体"/>
                <w:color w:val="000000"/>
                <w:kern w:val="0"/>
                <w:sz w:val="20"/>
                <w:szCs w:val="20"/>
              </w:rPr>
              <w:t>传 真</w:t>
            </w:r>
          </w:p>
        </w:tc>
        <w:tc>
          <w:tcPr>
            <w:tcW w:w="2595" w:type="dxa"/>
            <w:gridSpan w:val="2"/>
            <w:vAlign w:val="bottom"/>
          </w:tcPr>
          <w:p>
            <w:pPr>
              <w:spacing w:line="360" w:lineRule="auto"/>
              <w:jc w:val="center"/>
              <w:rPr>
                <w:rFonts w:ascii="宋体" w:hAnsi="宋体" w:eastAsia="宋体" w:cs="宋体"/>
                <w:szCs w:val="21"/>
              </w:rPr>
            </w:pPr>
          </w:p>
        </w:tc>
        <w:tc>
          <w:tcPr>
            <w:tcW w:w="1405" w:type="dxa"/>
            <w:vAlign w:val="bottom"/>
          </w:tcPr>
          <w:p>
            <w:pPr>
              <w:spacing w:line="360" w:lineRule="auto"/>
              <w:jc w:val="center"/>
              <w:rPr>
                <w:rFonts w:ascii="宋体" w:hAnsi="宋体" w:eastAsia="宋体" w:cs="宋体"/>
                <w:szCs w:val="21"/>
              </w:rPr>
            </w:pPr>
            <w:r>
              <w:rPr>
                <w:rFonts w:hint="eastAsia" w:ascii="宋体" w:hAnsi="宋体" w:eastAsia="宋体" w:cs="宋体"/>
                <w:szCs w:val="21"/>
              </w:rPr>
              <w:t>网址</w:t>
            </w:r>
          </w:p>
        </w:tc>
        <w:tc>
          <w:tcPr>
            <w:tcW w:w="2814" w:type="dxa"/>
            <w:gridSpan w:val="2"/>
            <w:vAlign w:val="bottom"/>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spacing w:line="360" w:lineRule="auto"/>
              <w:jc w:val="center"/>
              <w:rPr>
                <w:rFonts w:ascii="宋体" w:hAnsi="宋体" w:eastAsia="宋体" w:cs="宋体"/>
                <w:szCs w:val="21"/>
              </w:rPr>
            </w:pPr>
            <w:r>
              <w:rPr>
                <w:rFonts w:hint="eastAsia" w:ascii="宋体" w:hAnsi="宋体" w:eastAsia="宋体" w:cs="宋体"/>
                <w:szCs w:val="21"/>
              </w:rPr>
              <w:t>组织结构</w:t>
            </w:r>
          </w:p>
        </w:tc>
        <w:tc>
          <w:tcPr>
            <w:tcW w:w="7803" w:type="dxa"/>
            <w:gridSpan w:val="6"/>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036" w:type="dxa"/>
          </w:tcPr>
          <w:p>
            <w:pPr>
              <w:jc w:val="center"/>
              <w:rPr>
                <w:rFonts w:ascii="宋体" w:hAnsi="宋体" w:eastAsia="宋体" w:cs="宋体"/>
                <w:szCs w:val="21"/>
              </w:rPr>
            </w:pPr>
            <w:r>
              <w:rPr>
                <w:rFonts w:hint="eastAsia" w:ascii="宋体" w:hAnsi="宋体" w:eastAsia="宋体" w:cs="宋体"/>
                <w:szCs w:val="21"/>
              </w:rPr>
              <w:t>法定代表人</w:t>
            </w:r>
          </w:p>
          <w:p>
            <w:pPr>
              <w:jc w:val="center"/>
              <w:rPr>
                <w:rFonts w:ascii="宋体" w:hAnsi="宋体" w:eastAsia="宋体" w:cs="宋体"/>
                <w:szCs w:val="21"/>
              </w:rPr>
            </w:pPr>
            <w:r>
              <w:rPr>
                <w:rFonts w:hint="eastAsia" w:ascii="宋体" w:hAnsi="宋体" w:eastAsia="宋体" w:cs="宋体"/>
                <w:szCs w:val="21"/>
              </w:rPr>
              <w:t>（负责人）</w:t>
            </w:r>
          </w:p>
        </w:tc>
        <w:tc>
          <w:tcPr>
            <w:tcW w:w="989" w:type="dxa"/>
          </w:tcPr>
          <w:p>
            <w:pPr>
              <w:spacing w:line="360" w:lineRule="auto"/>
              <w:rPr>
                <w:rFonts w:ascii="宋体" w:hAnsi="宋体" w:eastAsia="宋体" w:cs="宋体"/>
                <w:szCs w:val="21"/>
              </w:rPr>
            </w:pPr>
            <w:r>
              <w:rPr>
                <w:rFonts w:hint="eastAsia" w:ascii="宋体" w:hAnsi="宋体" w:eastAsia="宋体" w:cs="宋体"/>
                <w:szCs w:val="21"/>
              </w:rPr>
              <w:t>姓名</w:t>
            </w:r>
          </w:p>
        </w:tc>
        <w:tc>
          <w:tcPr>
            <w:tcW w:w="1190" w:type="dxa"/>
          </w:tcPr>
          <w:p>
            <w:pPr>
              <w:spacing w:line="360" w:lineRule="auto"/>
              <w:rPr>
                <w:rFonts w:ascii="宋体" w:hAnsi="宋体" w:eastAsia="宋体" w:cs="宋体"/>
                <w:szCs w:val="21"/>
              </w:rPr>
            </w:pPr>
          </w:p>
        </w:tc>
        <w:tc>
          <w:tcPr>
            <w:tcW w:w="1405" w:type="dxa"/>
          </w:tcPr>
          <w:p>
            <w:pPr>
              <w:spacing w:line="360" w:lineRule="auto"/>
              <w:rPr>
                <w:rFonts w:ascii="宋体" w:hAnsi="宋体" w:eastAsia="宋体" w:cs="宋体"/>
                <w:szCs w:val="21"/>
              </w:rPr>
            </w:pPr>
            <w:r>
              <w:rPr>
                <w:rFonts w:hint="eastAsia" w:ascii="宋体" w:hAnsi="宋体" w:eastAsia="宋体" w:cs="宋体"/>
                <w:szCs w:val="21"/>
              </w:rPr>
              <w:t>技术职称</w:t>
            </w:r>
          </w:p>
        </w:tc>
        <w:tc>
          <w:tcPr>
            <w:tcW w:w="1405" w:type="dxa"/>
          </w:tcPr>
          <w:p>
            <w:pPr>
              <w:spacing w:line="360" w:lineRule="auto"/>
              <w:rPr>
                <w:rFonts w:ascii="宋体" w:hAnsi="宋体" w:eastAsia="宋体" w:cs="宋体"/>
                <w:szCs w:val="21"/>
              </w:rPr>
            </w:pPr>
          </w:p>
        </w:tc>
        <w:tc>
          <w:tcPr>
            <w:tcW w:w="1539" w:type="dxa"/>
          </w:tcPr>
          <w:p>
            <w:pPr>
              <w:spacing w:line="360" w:lineRule="auto"/>
              <w:rPr>
                <w:rFonts w:ascii="宋体" w:hAnsi="宋体" w:eastAsia="宋体" w:cs="宋体"/>
                <w:szCs w:val="21"/>
              </w:rPr>
            </w:pPr>
            <w:r>
              <w:rPr>
                <w:rFonts w:hint="eastAsia" w:ascii="宋体" w:hAnsi="宋体" w:eastAsia="宋体" w:cs="宋体"/>
                <w:szCs w:val="21"/>
              </w:rPr>
              <w:t>电话</w:t>
            </w:r>
          </w:p>
        </w:tc>
        <w:tc>
          <w:tcPr>
            <w:tcW w:w="1275"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spacing w:line="360" w:lineRule="auto"/>
              <w:jc w:val="center"/>
              <w:rPr>
                <w:rFonts w:ascii="宋体" w:hAnsi="宋体" w:eastAsia="宋体" w:cs="宋体"/>
                <w:szCs w:val="21"/>
              </w:rPr>
            </w:pPr>
            <w:r>
              <w:rPr>
                <w:rFonts w:hint="eastAsia" w:ascii="宋体" w:hAnsi="宋体" w:eastAsia="宋体" w:cs="宋体"/>
                <w:szCs w:val="21"/>
              </w:rPr>
              <w:t>成立时间</w:t>
            </w:r>
          </w:p>
        </w:tc>
        <w:tc>
          <w:tcPr>
            <w:tcW w:w="3584" w:type="dxa"/>
            <w:gridSpan w:val="3"/>
          </w:tcPr>
          <w:p>
            <w:pPr>
              <w:spacing w:line="360" w:lineRule="auto"/>
              <w:rPr>
                <w:rFonts w:ascii="宋体" w:hAnsi="宋体" w:eastAsia="宋体" w:cs="宋体"/>
                <w:szCs w:val="21"/>
              </w:rPr>
            </w:pPr>
          </w:p>
        </w:tc>
        <w:tc>
          <w:tcPr>
            <w:tcW w:w="4219" w:type="dxa"/>
            <w:gridSpan w:val="3"/>
          </w:tcPr>
          <w:p>
            <w:pPr>
              <w:spacing w:line="360" w:lineRule="auto"/>
              <w:jc w:val="center"/>
              <w:rPr>
                <w:rFonts w:ascii="宋体" w:hAnsi="宋体" w:eastAsia="宋体" w:cs="宋体"/>
                <w:szCs w:val="21"/>
              </w:rPr>
            </w:pPr>
            <w:r>
              <w:rPr>
                <w:rFonts w:hint="eastAsia" w:ascii="宋体" w:hAnsi="宋体" w:eastAsia="宋体" w:cs="宋体"/>
                <w:szCs w:val="21"/>
              </w:rPr>
              <w:t>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spacing w:line="360" w:lineRule="auto"/>
              <w:jc w:val="center"/>
              <w:rPr>
                <w:rFonts w:ascii="宋体" w:hAnsi="宋体" w:eastAsia="宋体" w:cs="宋体"/>
                <w:szCs w:val="21"/>
              </w:rPr>
            </w:pPr>
            <w:r>
              <w:rPr>
                <w:rFonts w:hint="eastAsia" w:ascii="宋体" w:hAnsi="宋体" w:eastAsia="宋体" w:cs="宋体"/>
                <w:szCs w:val="21"/>
              </w:rPr>
              <w:t>企业资质等级</w:t>
            </w:r>
          </w:p>
          <w:p>
            <w:pPr>
              <w:spacing w:line="360" w:lineRule="auto"/>
              <w:rPr>
                <w:rFonts w:ascii="宋体" w:hAnsi="宋体" w:eastAsia="宋体" w:cs="宋体"/>
                <w:szCs w:val="21"/>
              </w:rPr>
            </w:pPr>
          </w:p>
        </w:tc>
        <w:tc>
          <w:tcPr>
            <w:tcW w:w="3584" w:type="dxa"/>
            <w:gridSpan w:val="3"/>
          </w:tcPr>
          <w:p>
            <w:pPr>
              <w:spacing w:line="360" w:lineRule="auto"/>
              <w:rPr>
                <w:rFonts w:ascii="宋体" w:hAnsi="宋体" w:eastAsia="宋体" w:cs="宋体"/>
                <w:szCs w:val="21"/>
              </w:rPr>
            </w:pPr>
          </w:p>
        </w:tc>
        <w:tc>
          <w:tcPr>
            <w:tcW w:w="1405" w:type="dxa"/>
            <w:vMerge w:val="restart"/>
            <w:vAlign w:val="center"/>
          </w:tcPr>
          <w:p>
            <w:pPr>
              <w:widowControl/>
              <w:jc w:val="center"/>
              <w:rPr>
                <w:rFonts w:ascii="宋体" w:hAnsi="宋体" w:eastAsia="宋体" w:cs="宋体"/>
                <w:szCs w:val="21"/>
              </w:rPr>
            </w:pPr>
            <w:r>
              <w:rPr>
                <w:rFonts w:hint="eastAsia" w:ascii="宋体" w:hAnsi="宋体" w:eastAsia="宋体" w:cs="宋体"/>
                <w:color w:val="000000"/>
                <w:kern w:val="0"/>
                <w:sz w:val="20"/>
                <w:szCs w:val="20"/>
              </w:rPr>
              <w:t>其中</w:t>
            </w:r>
          </w:p>
        </w:tc>
        <w:tc>
          <w:tcPr>
            <w:tcW w:w="1539" w:type="dxa"/>
          </w:tcPr>
          <w:p>
            <w:r>
              <w:rPr>
                <w:rFonts w:hint="eastAsia"/>
              </w:rPr>
              <w:t>高级职称人员</w:t>
            </w:r>
          </w:p>
          <w:p/>
        </w:tc>
        <w:tc>
          <w:tcPr>
            <w:tcW w:w="1275"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widowControl/>
              <w:jc w:val="center"/>
            </w:pPr>
            <w:r>
              <w:rPr>
                <w:rFonts w:hint="eastAsia" w:ascii="宋体" w:hAnsi="宋体" w:eastAsia="宋体" w:cs="宋体"/>
                <w:color w:val="000000"/>
                <w:kern w:val="0"/>
                <w:sz w:val="20"/>
                <w:szCs w:val="20"/>
              </w:rPr>
              <w:t>营业执照号</w:t>
            </w:r>
          </w:p>
          <w:p>
            <w:pPr>
              <w:spacing w:line="360" w:lineRule="auto"/>
              <w:rPr>
                <w:rFonts w:ascii="宋体" w:hAnsi="宋体" w:eastAsia="宋体" w:cs="宋体"/>
                <w:szCs w:val="21"/>
              </w:rPr>
            </w:pPr>
          </w:p>
        </w:tc>
        <w:tc>
          <w:tcPr>
            <w:tcW w:w="3584" w:type="dxa"/>
            <w:gridSpan w:val="3"/>
          </w:tcPr>
          <w:p>
            <w:pPr>
              <w:spacing w:line="360" w:lineRule="auto"/>
              <w:rPr>
                <w:rFonts w:ascii="宋体" w:hAnsi="宋体" w:eastAsia="宋体" w:cs="宋体"/>
                <w:szCs w:val="21"/>
              </w:rPr>
            </w:pPr>
          </w:p>
        </w:tc>
        <w:tc>
          <w:tcPr>
            <w:tcW w:w="1405" w:type="dxa"/>
            <w:vMerge w:val="continue"/>
          </w:tcPr>
          <w:p>
            <w:pPr>
              <w:spacing w:line="360" w:lineRule="auto"/>
              <w:rPr>
                <w:rFonts w:ascii="宋体" w:hAnsi="宋体" w:eastAsia="宋体" w:cs="宋体"/>
                <w:szCs w:val="21"/>
              </w:rPr>
            </w:pPr>
          </w:p>
        </w:tc>
        <w:tc>
          <w:tcPr>
            <w:tcW w:w="1539" w:type="dxa"/>
          </w:tcPr>
          <w:p>
            <w:r>
              <w:rPr>
                <w:rFonts w:hint="eastAsia"/>
              </w:rPr>
              <w:t>高级职称人员</w:t>
            </w:r>
          </w:p>
          <w:p/>
        </w:tc>
        <w:tc>
          <w:tcPr>
            <w:tcW w:w="1275"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widowControl/>
              <w:jc w:val="center"/>
            </w:pPr>
            <w:r>
              <w:rPr>
                <w:rFonts w:hint="eastAsia" w:ascii="宋体" w:hAnsi="宋体" w:eastAsia="宋体" w:cs="宋体"/>
                <w:color w:val="000000"/>
                <w:kern w:val="0"/>
                <w:sz w:val="20"/>
                <w:szCs w:val="20"/>
              </w:rPr>
              <w:t>注册资金</w:t>
            </w:r>
          </w:p>
          <w:p>
            <w:pPr>
              <w:spacing w:line="360" w:lineRule="auto"/>
              <w:rPr>
                <w:rFonts w:ascii="宋体" w:hAnsi="宋体" w:eastAsia="宋体" w:cs="宋体"/>
                <w:szCs w:val="21"/>
              </w:rPr>
            </w:pPr>
          </w:p>
        </w:tc>
        <w:tc>
          <w:tcPr>
            <w:tcW w:w="3584" w:type="dxa"/>
            <w:gridSpan w:val="3"/>
          </w:tcPr>
          <w:p>
            <w:pPr>
              <w:spacing w:line="360" w:lineRule="auto"/>
              <w:rPr>
                <w:rFonts w:ascii="宋体" w:hAnsi="宋体" w:eastAsia="宋体" w:cs="宋体"/>
                <w:szCs w:val="21"/>
              </w:rPr>
            </w:pPr>
          </w:p>
        </w:tc>
        <w:tc>
          <w:tcPr>
            <w:tcW w:w="1405" w:type="dxa"/>
            <w:vMerge w:val="continue"/>
          </w:tcPr>
          <w:p>
            <w:pPr>
              <w:spacing w:line="360" w:lineRule="auto"/>
              <w:rPr>
                <w:rFonts w:ascii="宋体" w:hAnsi="宋体" w:eastAsia="宋体" w:cs="宋体"/>
                <w:szCs w:val="21"/>
              </w:rPr>
            </w:pPr>
          </w:p>
        </w:tc>
        <w:tc>
          <w:tcPr>
            <w:tcW w:w="1539" w:type="dxa"/>
          </w:tcPr>
          <w:p>
            <w:r>
              <w:rPr>
                <w:rFonts w:hint="eastAsia"/>
              </w:rPr>
              <w:t>高级职称人员</w:t>
            </w:r>
          </w:p>
          <w:p/>
        </w:tc>
        <w:tc>
          <w:tcPr>
            <w:tcW w:w="1275"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1" w:hRule="exact"/>
          <w:jc w:val="center"/>
        </w:trPr>
        <w:tc>
          <w:tcPr>
            <w:tcW w:w="203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经营范围</w:t>
            </w:r>
          </w:p>
        </w:tc>
        <w:tc>
          <w:tcPr>
            <w:tcW w:w="7803" w:type="dxa"/>
            <w:gridSpan w:val="6"/>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36" w:type="dxa"/>
          </w:tcPr>
          <w:p>
            <w:pPr>
              <w:widowControl/>
              <w:jc w:val="center"/>
            </w:pPr>
            <w:r>
              <w:rPr>
                <w:rFonts w:hint="eastAsia" w:ascii="宋体" w:hAnsi="宋体" w:eastAsia="宋体" w:cs="宋体"/>
                <w:color w:val="000000"/>
                <w:kern w:val="0"/>
                <w:sz w:val="20"/>
                <w:szCs w:val="20"/>
              </w:rPr>
              <w:t>备注</w:t>
            </w:r>
          </w:p>
          <w:p>
            <w:pPr>
              <w:spacing w:line="360" w:lineRule="auto"/>
              <w:rPr>
                <w:rFonts w:ascii="宋体" w:hAnsi="宋体" w:eastAsia="宋体" w:cs="宋体"/>
                <w:szCs w:val="21"/>
              </w:rPr>
            </w:pPr>
          </w:p>
        </w:tc>
        <w:tc>
          <w:tcPr>
            <w:tcW w:w="7803" w:type="dxa"/>
            <w:gridSpan w:val="6"/>
          </w:tcPr>
          <w:p>
            <w:pPr>
              <w:widowControl/>
              <w:jc w:val="center"/>
            </w:pPr>
            <w:r>
              <w:rPr>
                <w:rFonts w:hint="eastAsia" w:ascii="宋体" w:hAnsi="宋体" w:eastAsia="宋体" w:cs="宋体"/>
                <w:color w:val="000000"/>
                <w:kern w:val="0"/>
                <w:sz w:val="20"/>
                <w:szCs w:val="20"/>
              </w:rPr>
              <w:t>投标单位可跟据企业实际情况增加或删减填写此表</w:t>
            </w:r>
          </w:p>
          <w:p>
            <w:pPr>
              <w:spacing w:line="360" w:lineRule="auto"/>
              <w:rPr>
                <w:rFonts w:ascii="宋体" w:hAnsi="宋体" w:eastAsia="宋体" w:cs="宋体"/>
                <w:szCs w:val="21"/>
              </w:rPr>
            </w:pPr>
          </w:p>
        </w:tc>
      </w:tr>
    </w:tbl>
    <w:p>
      <w:pPr>
        <w:rPr>
          <w:rFonts w:ascii="宋体" w:hAnsi="宋体" w:eastAsia="宋体" w:cs="宋体"/>
        </w:rPr>
      </w:pPr>
      <w:r>
        <w:rPr>
          <w:rFonts w:hint="eastAsia" w:ascii="宋体" w:hAnsi="宋体" w:eastAsia="宋体" w:cs="宋体"/>
          <w:szCs w:val="21"/>
        </w:rPr>
        <w:t>注：1、在本表后应附投标人营业执照、金融许可证、财务状况、社保和纳税证明、信用查询截图等</w:t>
      </w:r>
      <w:r>
        <w:rPr>
          <w:rFonts w:hint="eastAsia" w:ascii="宋体" w:hAnsi="宋体" w:eastAsia="宋体" w:cs="宋体"/>
        </w:rPr>
        <w:t>投标人资格要求中的证件的扫描件。</w:t>
      </w:r>
    </w:p>
    <w:p>
      <w:pPr>
        <w:pStyle w:val="11"/>
        <w:rPr>
          <w:rFonts w:eastAsia="宋体"/>
        </w:rPr>
      </w:pPr>
    </w:p>
    <w:p>
      <w:pPr>
        <w:rPr>
          <w:rFonts w:ascii="宋体" w:hAnsi="宋体" w:eastAsia="宋体" w:cs="宋体"/>
          <w:b/>
          <w:bCs/>
        </w:rPr>
      </w:pPr>
      <w:r>
        <w:rPr>
          <w:rFonts w:hint="eastAsia" w:ascii="宋体" w:hAnsi="宋体" w:eastAsia="宋体" w:cs="宋体"/>
          <w:szCs w:val="21"/>
        </w:rPr>
        <w:br w:type="page"/>
      </w:r>
      <w:bookmarkStart w:id="185" w:name="_Toc842"/>
      <w:r>
        <w:rPr>
          <w:rFonts w:hint="eastAsia" w:ascii="宋体" w:hAnsi="宋体" w:eastAsia="宋体" w:cs="宋体"/>
          <w:b/>
          <w:bCs/>
          <w:sz w:val="28"/>
          <w:szCs w:val="36"/>
        </w:rPr>
        <w:t>格式</w:t>
      </w:r>
      <w:r>
        <w:rPr>
          <w:rFonts w:hint="eastAsia" w:hAnsi="宋体" w:cs="宋体"/>
          <w:b/>
          <w:bCs/>
          <w:sz w:val="28"/>
          <w:szCs w:val="36"/>
        </w:rPr>
        <w:t>：</w:t>
      </w:r>
    </w:p>
    <w:p>
      <w:pPr>
        <w:pStyle w:val="2"/>
        <w:spacing w:line="360" w:lineRule="auto"/>
        <w:jc w:val="center"/>
        <w:outlineLvl w:val="1"/>
        <w:rPr>
          <w:rFonts w:hAnsi="宋体"/>
          <w:b/>
          <w:bCs/>
          <w:color w:val="auto"/>
        </w:rPr>
      </w:pPr>
      <w:bookmarkStart w:id="186" w:name="_Toc13487"/>
      <w:bookmarkStart w:id="187" w:name="_Toc20483"/>
      <w:bookmarkStart w:id="188" w:name="_Toc18403"/>
      <w:bookmarkStart w:id="189" w:name="_Toc17617"/>
      <w:r>
        <w:rPr>
          <w:rFonts w:hint="eastAsia" w:hAnsi="宋体"/>
          <w:b/>
          <w:bCs/>
          <w:color w:val="auto"/>
        </w:rPr>
        <w:t>项目负责人委任书</w:t>
      </w:r>
      <w:bookmarkEnd w:id="185"/>
      <w:bookmarkEnd w:id="186"/>
      <w:bookmarkEnd w:id="187"/>
      <w:bookmarkEnd w:id="188"/>
      <w:bookmarkEnd w:id="189"/>
    </w:p>
    <w:p>
      <w:pPr>
        <w:pStyle w:val="2"/>
        <w:spacing w:line="360" w:lineRule="auto"/>
        <w:ind w:firstLine="630" w:firstLineChars="300"/>
        <w:outlineLvl w:val="1"/>
        <w:rPr>
          <w:rFonts w:hAnsi="宋体"/>
          <w:color w:val="auto"/>
          <w:sz w:val="21"/>
          <w:szCs w:val="21"/>
        </w:rPr>
      </w:pPr>
      <w:bookmarkStart w:id="190" w:name="_Toc10278"/>
      <w:bookmarkStart w:id="191" w:name="_Toc16496"/>
      <w:bookmarkStart w:id="192" w:name="_Toc9703"/>
      <w:bookmarkStart w:id="193" w:name="_Toc29178"/>
      <w:bookmarkStart w:id="194" w:name="_Toc3739"/>
      <w:r>
        <w:rPr>
          <w:rFonts w:hint="eastAsia" w:hAnsi="宋体"/>
          <w:color w:val="auto"/>
          <w:sz w:val="21"/>
          <w:szCs w:val="21"/>
        </w:rPr>
        <w:t>本人</w:t>
      </w:r>
      <w:r>
        <w:rPr>
          <w:rFonts w:hint="eastAsia" w:hAnsi="宋体"/>
          <w:b/>
          <w:bCs/>
          <w:u w:val="single"/>
        </w:rPr>
        <w:t xml:space="preserve">      </w:t>
      </w:r>
      <w:r>
        <w:rPr>
          <w:rFonts w:hint="eastAsia" w:hAnsi="宋体"/>
          <w:color w:val="auto"/>
          <w:sz w:val="21"/>
          <w:szCs w:val="21"/>
        </w:rPr>
        <w:t>（姓名）系</w:t>
      </w:r>
      <w:r>
        <w:rPr>
          <w:rFonts w:hint="eastAsia" w:hAnsi="宋体"/>
          <w:b/>
          <w:bCs/>
          <w:u w:val="single"/>
        </w:rPr>
        <w:t xml:space="preserve">      </w:t>
      </w:r>
      <w:r>
        <w:rPr>
          <w:rFonts w:hint="eastAsia" w:hAnsi="宋体"/>
          <w:color w:val="auto"/>
          <w:sz w:val="21"/>
          <w:szCs w:val="21"/>
        </w:rPr>
        <w:t>（投标人名称）的法定代表人（负责人），现委任我公司</w:t>
      </w:r>
      <w:r>
        <w:rPr>
          <w:rFonts w:hint="eastAsia" w:hAnsi="宋体"/>
          <w:b/>
          <w:bCs/>
          <w:u w:val="single"/>
        </w:rPr>
        <w:t xml:space="preserve">      </w:t>
      </w:r>
      <w:r>
        <w:rPr>
          <w:rFonts w:hint="eastAsia" w:hAnsi="宋体"/>
          <w:color w:val="auto"/>
          <w:sz w:val="21"/>
          <w:szCs w:val="21"/>
        </w:rPr>
        <w:t>（姓名）</w:t>
      </w:r>
      <w:bookmarkEnd w:id="190"/>
      <w:bookmarkEnd w:id="191"/>
      <w:bookmarkEnd w:id="192"/>
      <w:bookmarkStart w:id="195" w:name="_Toc25271"/>
      <w:bookmarkStart w:id="196" w:name="_Toc31995"/>
      <w:bookmarkStart w:id="197" w:name="_Toc887"/>
      <w:r>
        <w:rPr>
          <w:rFonts w:hint="eastAsia" w:hAnsi="宋体"/>
          <w:b/>
          <w:bCs/>
          <w:u w:val="single"/>
        </w:rPr>
        <w:t xml:space="preserve">      </w:t>
      </w:r>
      <w:r>
        <w:rPr>
          <w:rFonts w:hint="eastAsia" w:hAnsi="宋体"/>
          <w:color w:val="auto"/>
          <w:sz w:val="21"/>
          <w:szCs w:val="21"/>
        </w:rPr>
        <w:t>（身份证号） 为</w:t>
      </w:r>
      <w:r>
        <w:rPr>
          <w:rFonts w:hint="eastAsia" w:hAnsi="宋体"/>
          <w:b/>
          <w:bCs/>
          <w:u w:val="single"/>
        </w:rPr>
        <w:t xml:space="preserve">      </w:t>
      </w:r>
      <w:r>
        <w:rPr>
          <w:rFonts w:hint="eastAsia" w:hAnsi="宋体"/>
          <w:color w:val="auto"/>
          <w:sz w:val="21"/>
          <w:szCs w:val="21"/>
          <w:shd w:val="clear" w:color="auto" w:fill="FFFFFF"/>
        </w:rPr>
        <w:t>（项目名称）</w:t>
      </w:r>
      <w:r>
        <w:rPr>
          <w:rFonts w:hint="eastAsia" w:hAnsi="宋体"/>
          <w:color w:val="auto"/>
          <w:sz w:val="21"/>
          <w:szCs w:val="21"/>
        </w:rPr>
        <w:t>的项目负责人。</w:t>
      </w:r>
      <w:bookmarkEnd w:id="193"/>
      <w:bookmarkEnd w:id="194"/>
      <w:bookmarkEnd w:id="195"/>
      <w:bookmarkEnd w:id="196"/>
      <w:bookmarkEnd w:id="197"/>
    </w:p>
    <w:p>
      <w:pPr>
        <w:pStyle w:val="2"/>
        <w:spacing w:line="360" w:lineRule="auto"/>
        <w:ind w:firstLine="210" w:firstLineChars="100"/>
        <w:outlineLvl w:val="1"/>
        <w:rPr>
          <w:rFonts w:hAnsi="宋体"/>
          <w:color w:val="auto"/>
          <w:sz w:val="21"/>
          <w:szCs w:val="21"/>
        </w:rPr>
      </w:pPr>
      <w:bookmarkStart w:id="198" w:name="_Toc29255"/>
      <w:bookmarkStart w:id="199" w:name="_Toc30946"/>
      <w:bookmarkStart w:id="200" w:name="_Toc25192"/>
      <w:bookmarkStart w:id="201" w:name="_Toc24755"/>
      <w:bookmarkStart w:id="202" w:name="_Toc24592"/>
      <w:r>
        <w:rPr>
          <w:rFonts w:hint="eastAsia" w:hAnsi="宋体"/>
          <w:color w:val="auto"/>
          <w:sz w:val="21"/>
          <w:szCs w:val="21"/>
        </w:rPr>
        <w:t>附项目负责人身份证复印件</w:t>
      </w:r>
      <w:bookmarkEnd w:id="198"/>
      <w:bookmarkEnd w:id="199"/>
      <w:bookmarkEnd w:id="200"/>
      <w:bookmarkEnd w:id="201"/>
      <w:bookmarkEnd w:id="202"/>
    </w:p>
    <w:p>
      <w:pPr>
        <w:spacing w:line="360" w:lineRule="auto"/>
        <w:ind w:firstLine="3570" w:firstLineChars="1700"/>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b/>
          <w:bCs/>
          <w:sz w:val="24"/>
          <w:u w:val="single"/>
        </w:rPr>
        <w:t xml:space="preserve">      </w:t>
      </w:r>
      <w:r>
        <w:rPr>
          <w:rFonts w:hint="eastAsia" w:ascii="宋体" w:hAnsi="宋体" w:eastAsia="宋体" w:cs="宋体"/>
          <w:szCs w:val="21"/>
        </w:rPr>
        <w:t>（企业电子签章）</w:t>
      </w:r>
    </w:p>
    <w:p>
      <w:pPr>
        <w:spacing w:line="360" w:lineRule="auto"/>
        <w:ind w:firstLine="2520" w:firstLineChars="1200"/>
        <w:rPr>
          <w:rFonts w:ascii="宋体" w:hAnsi="宋体" w:eastAsia="宋体" w:cs="宋体"/>
          <w:szCs w:val="21"/>
        </w:rPr>
      </w:pPr>
      <w:r>
        <w:rPr>
          <w:rFonts w:hint="eastAsia" w:ascii="宋体" w:hAnsi="宋体" w:eastAsia="宋体" w:cs="宋体"/>
          <w:szCs w:val="21"/>
        </w:rPr>
        <w:t>法定代表人（负责人）：</w:t>
      </w:r>
      <w:r>
        <w:rPr>
          <w:rFonts w:hint="eastAsia" w:ascii="宋体" w:hAnsi="宋体" w:eastAsia="宋体" w:cs="宋体"/>
          <w:b/>
          <w:bCs/>
          <w:sz w:val="24"/>
          <w:u w:val="single"/>
        </w:rPr>
        <w:t xml:space="preserve">      </w:t>
      </w:r>
      <w:r>
        <w:rPr>
          <w:rFonts w:hint="eastAsia" w:ascii="宋体" w:hAnsi="宋体" w:eastAsia="宋体" w:cs="宋体"/>
          <w:szCs w:val="21"/>
        </w:rPr>
        <w:t>（个人电子签章或签名）</w:t>
      </w:r>
    </w:p>
    <w:p>
      <w:pPr>
        <w:spacing w:line="480" w:lineRule="auto"/>
        <w:ind w:firstLine="4200" w:firstLineChars="20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21"/>
        <w:ind w:firstLine="210"/>
      </w:pPr>
    </w:p>
    <w:p>
      <w:pPr>
        <w:spacing w:line="480" w:lineRule="auto"/>
        <w:jc w:val="center"/>
        <w:rPr>
          <w:rFonts w:ascii="宋体" w:hAnsi="宋体" w:eastAsia="宋体" w:cs="宋体"/>
          <w:b/>
          <w:bCs/>
          <w:color w:val="000000"/>
          <w:sz w:val="24"/>
        </w:rPr>
      </w:pPr>
      <w:r>
        <w:rPr>
          <w:rFonts w:hint="eastAsia" w:ascii="宋体" w:hAnsi="宋体" w:eastAsia="宋体" w:cs="宋体"/>
          <w:b/>
          <w:bCs/>
          <w:color w:val="000000"/>
          <w:sz w:val="24"/>
        </w:rPr>
        <w:t>参加政府采购活动前三年内在经营活动中没有重大违法记录的声明函</w:t>
      </w:r>
    </w:p>
    <w:p>
      <w:pPr>
        <w:pStyle w:val="21"/>
        <w:spacing w:line="480" w:lineRule="auto"/>
        <w:ind w:firstLine="210"/>
        <w:rPr>
          <w:rFonts w:eastAsia="宋体"/>
          <w:szCs w:val="21"/>
          <w:u w:val="single"/>
        </w:rPr>
      </w:pPr>
      <w:r>
        <w:rPr>
          <w:rFonts w:hint="eastAsia" w:ascii="宋体" w:hAnsi="宋体" w:eastAsia="宋体" w:cs="宋体"/>
          <w:color w:val="000000"/>
          <w:szCs w:val="21"/>
        </w:rPr>
        <w:t>致：</w:t>
      </w:r>
      <w:r>
        <w:rPr>
          <w:rFonts w:hint="eastAsia" w:ascii="宋体" w:hAnsi="宋体" w:eastAsia="宋体" w:cs="宋体"/>
          <w:b/>
          <w:bCs/>
          <w:sz w:val="24"/>
          <w:u w:val="single"/>
        </w:rPr>
        <w:t xml:space="preserve">      </w:t>
      </w:r>
      <w:r>
        <w:rPr>
          <w:rFonts w:hint="eastAsia" w:ascii="宋体" w:hAnsi="宋体" w:eastAsia="宋体" w:cs="宋体"/>
          <w:color w:val="000000"/>
          <w:szCs w:val="21"/>
        </w:rPr>
        <w:t>（招标人）</w:t>
      </w:r>
    </w:p>
    <w:p>
      <w:pPr>
        <w:spacing w:line="48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我单位郑重声明在</w:t>
      </w:r>
      <w:r>
        <w:rPr>
          <w:rFonts w:hint="eastAsia" w:ascii="宋体" w:hAnsi="宋体" w:eastAsia="宋体" w:cs="宋体"/>
          <w:color w:val="000000"/>
          <w:szCs w:val="21"/>
          <w:shd w:val="clear" w:color="auto" w:fill="FFFFFF"/>
        </w:rPr>
        <w:t>参加本次政府采购活动前三年在经营活动中没有重大违法记录</w:t>
      </w:r>
      <w:r>
        <w:rPr>
          <w:rFonts w:hint="eastAsia" w:ascii="宋体" w:hAnsi="宋体" w:eastAsia="宋体" w:cs="宋体"/>
          <w:color w:val="000000"/>
          <w:szCs w:val="21"/>
        </w:rPr>
        <w:t>，如若虚假，一经查实，取消中标候选人资格，依据有关法律法规予以追究并处罚。</w:t>
      </w:r>
    </w:p>
    <w:p>
      <w:pPr>
        <w:spacing w:line="400" w:lineRule="exact"/>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b/>
          <w:bCs/>
          <w:sz w:val="24"/>
          <w:u w:val="single"/>
        </w:rPr>
        <w:t xml:space="preserve">      </w:t>
      </w:r>
      <w:r>
        <w:rPr>
          <w:rFonts w:hint="eastAsia" w:ascii="宋体" w:hAnsi="宋体" w:eastAsia="宋体" w:cs="宋体"/>
          <w:szCs w:val="21"/>
        </w:rPr>
        <w:t>（企业电子签章）</w:t>
      </w:r>
    </w:p>
    <w:p>
      <w:pPr>
        <w:spacing w:line="480" w:lineRule="auto"/>
        <w:ind w:firstLine="2520" w:firstLineChars="1200"/>
        <w:rPr>
          <w:rFonts w:ascii="宋体" w:hAnsi="宋体" w:eastAsia="宋体" w:cs="宋体"/>
          <w:b/>
          <w:bCs/>
          <w:color w:val="000000"/>
          <w:sz w:val="24"/>
        </w:rPr>
      </w:pPr>
      <w:r>
        <w:rPr>
          <w:rFonts w:hint="eastAsia" w:ascii="宋体" w:hAnsi="宋体" w:eastAsia="宋体" w:cs="宋体"/>
          <w:szCs w:val="21"/>
        </w:rPr>
        <w:t>法定代表人（负责人）：</w:t>
      </w:r>
      <w:r>
        <w:rPr>
          <w:rFonts w:hint="eastAsia" w:ascii="宋体" w:hAnsi="宋体" w:eastAsia="宋体" w:cs="宋体"/>
          <w:b/>
          <w:bCs/>
          <w:sz w:val="24"/>
          <w:u w:val="single"/>
        </w:rPr>
        <w:t xml:space="preserve">      </w:t>
      </w:r>
      <w:r>
        <w:rPr>
          <w:rFonts w:hint="eastAsia" w:ascii="宋体" w:hAnsi="宋体" w:eastAsia="宋体" w:cs="宋体"/>
          <w:szCs w:val="21"/>
        </w:rPr>
        <w:t>（个人电子签章或签名）</w:t>
      </w:r>
    </w:p>
    <w:p>
      <w:pPr>
        <w:spacing w:line="480" w:lineRule="auto"/>
        <w:ind w:firstLine="4200" w:firstLineChars="20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21"/>
        <w:ind w:firstLine="241"/>
        <w:rPr>
          <w:rFonts w:ascii="宋体" w:hAnsi="宋体" w:eastAsia="宋体" w:cs="宋体"/>
          <w:b/>
          <w:bCs/>
          <w:color w:val="000000"/>
          <w:sz w:val="24"/>
        </w:rPr>
      </w:pPr>
    </w:p>
    <w:p>
      <w:pPr>
        <w:spacing w:line="480" w:lineRule="auto"/>
        <w:ind w:firstLine="1928" w:firstLineChars="800"/>
        <w:rPr>
          <w:rFonts w:ascii="宋体" w:hAnsi="宋体" w:eastAsia="宋体" w:cs="宋体"/>
          <w:b/>
          <w:bCs/>
          <w:color w:val="000000"/>
          <w:sz w:val="24"/>
        </w:rPr>
      </w:pPr>
      <w:r>
        <w:rPr>
          <w:rFonts w:hint="eastAsia" w:ascii="宋体" w:hAnsi="宋体" w:eastAsia="宋体" w:cs="宋体"/>
          <w:b/>
          <w:bCs/>
          <w:color w:val="000000"/>
          <w:sz w:val="24"/>
        </w:rPr>
        <w:t>履行合同所必需的设备和专业技术能力的声明函</w:t>
      </w:r>
    </w:p>
    <w:p>
      <w:pPr>
        <w:pStyle w:val="21"/>
        <w:spacing w:line="480" w:lineRule="auto"/>
        <w:ind w:firstLine="210"/>
        <w:rPr>
          <w:szCs w:val="21"/>
          <w:u w:val="single"/>
        </w:rPr>
      </w:pPr>
      <w:r>
        <w:rPr>
          <w:rFonts w:hint="eastAsia" w:ascii="宋体" w:hAnsi="宋体" w:eastAsia="宋体" w:cs="宋体"/>
          <w:color w:val="000000"/>
          <w:szCs w:val="21"/>
        </w:rPr>
        <w:t>致：</w:t>
      </w:r>
      <w:r>
        <w:rPr>
          <w:rFonts w:hint="eastAsia" w:ascii="宋体" w:hAnsi="宋体" w:eastAsia="宋体" w:cs="宋体"/>
          <w:b/>
          <w:bCs/>
          <w:sz w:val="24"/>
          <w:u w:val="single"/>
        </w:rPr>
        <w:t xml:space="preserve">      </w:t>
      </w:r>
      <w:r>
        <w:rPr>
          <w:rFonts w:hint="eastAsia" w:ascii="宋体" w:hAnsi="宋体" w:eastAsia="宋体" w:cs="宋体"/>
          <w:color w:val="000000"/>
          <w:szCs w:val="21"/>
        </w:rPr>
        <w:t>（招标人）</w:t>
      </w:r>
    </w:p>
    <w:p>
      <w:pPr>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我单位具有履行合同所必需的设备和专业技术能力，并在人员、设备、资金方面具有相应的</w:t>
      </w:r>
      <w:r>
        <w:rPr>
          <w:rFonts w:hint="eastAsia" w:ascii="宋体" w:hAnsi="宋体" w:cs="宋体"/>
          <w:color w:val="000000"/>
          <w:szCs w:val="21"/>
        </w:rPr>
        <w:t>供货</w:t>
      </w:r>
      <w:r>
        <w:rPr>
          <w:rFonts w:hint="eastAsia" w:ascii="宋体" w:hAnsi="宋体" w:eastAsia="宋体" w:cs="宋体"/>
          <w:color w:val="000000"/>
          <w:szCs w:val="21"/>
        </w:rPr>
        <w:t>服务能力，特此承诺。</w:t>
      </w:r>
    </w:p>
    <w:p>
      <w:pPr>
        <w:spacing w:line="360" w:lineRule="auto"/>
        <w:ind w:firstLine="3570" w:firstLineChars="1700"/>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b/>
          <w:bCs/>
          <w:sz w:val="24"/>
          <w:u w:val="single"/>
        </w:rPr>
        <w:t xml:space="preserve">      </w:t>
      </w:r>
      <w:r>
        <w:rPr>
          <w:rFonts w:hint="eastAsia" w:ascii="宋体" w:hAnsi="宋体" w:eastAsia="宋体" w:cs="宋体"/>
          <w:szCs w:val="21"/>
        </w:rPr>
        <w:t>（企业电子签章）</w:t>
      </w:r>
    </w:p>
    <w:p>
      <w:pPr>
        <w:ind w:firstLine="2520" w:firstLineChars="1200"/>
      </w:pPr>
      <w:r>
        <w:rPr>
          <w:rFonts w:hint="eastAsia" w:ascii="宋体" w:hAnsi="宋体" w:eastAsia="宋体" w:cs="宋体"/>
          <w:szCs w:val="21"/>
        </w:rPr>
        <w:t>法定代表人（负责人）：</w:t>
      </w:r>
      <w:r>
        <w:rPr>
          <w:rFonts w:hint="eastAsia" w:ascii="宋体" w:hAnsi="宋体" w:eastAsia="宋体" w:cs="宋体"/>
          <w:b/>
          <w:bCs/>
          <w:sz w:val="24"/>
          <w:u w:val="single"/>
        </w:rPr>
        <w:t xml:space="preserve">      </w:t>
      </w:r>
      <w:r>
        <w:rPr>
          <w:rFonts w:hint="eastAsia" w:ascii="宋体" w:hAnsi="宋体" w:eastAsia="宋体" w:cs="宋体"/>
          <w:szCs w:val="21"/>
        </w:rPr>
        <w:t>（个人电子签章或签名）</w:t>
      </w:r>
    </w:p>
    <w:p>
      <w:pPr>
        <w:spacing w:line="480" w:lineRule="auto"/>
        <w:ind w:firstLine="4200" w:firstLineChars="20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
      <w:pPr>
        <w:numPr>
          <w:ilvl w:val="0"/>
          <w:numId w:val="4"/>
        </w:numPr>
        <w:spacing w:line="360" w:lineRule="auto"/>
        <w:jc w:val="center"/>
        <w:outlineLvl w:val="1"/>
        <w:rPr>
          <w:rFonts w:ascii="宋体" w:hAnsi="宋体" w:eastAsia="宋体" w:cs="宋体"/>
          <w:b/>
          <w:sz w:val="30"/>
          <w:szCs w:val="30"/>
        </w:rPr>
      </w:pPr>
      <w:bookmarkStart w:id="203" w:name="_Toc7928"/>
      <w:r>
        <w:rPr>
          <w:rFonts w:hint="eastAsia" w:ascii="宋体" w:hAnsi="宋体" w:eastAsia="宋体" w:cs="宋体"/>
          <w:b/>
          <w:sz w:val="30"/>
          <w:szCs w:val="30"/>
        </w:rPr>
        <w:t>拟投入团队成员情况表</w:t>
      </w:r>
      <w:bookmarkEnd w:id="203"/>
    </w:p>
    <w:tbl>
      <w:tblPr>
        <w:tblStyle w:val="23"/>
        <w:tblpPr w:leftFromText="180" w:rightFromText="180" w:vertAnchor="text" w:horzAnchor="page" w:tblpX="1369" w:tblpY="4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177"/>
        <w:gridCol w:w="1626"/>
        <w:gridCol w:w="1626"/>
        <w:gridCol w:w="162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vAlign w:val="center"/>
          </w:tcPr>
          <w:p>
            <w:pPr>
              <w:jc w:val="center"/>
              <w:rPr>
                <w:b/>
                <w:bCs/>
              </w:rPr>
            </w:pPr>
            <w:r>
              <w:rPr>
                <w:rFonts w:hint="eastAsia"/>
                <w:b/>
                <w:bCs/>
              </w:rPr>
              <w:t>序号</w:t>
            </w:r>
          </w:p>
        </w:tc>
        <w:tc>
          <w:tcPr>
            <w:tcW w:w="2177" w:type="dxa"/>
            <w:vAlign w:val="center"/>
          </w:tcPr>
          <w:p>
            <w:pPr>
              <w:jc w:val="center"/>
              <w:rPr>
                <w:b/>
                <w:bCs/>
              </w:rPr>
            </w:pPr>
            <w:r>
              <w:rPr>
                <w:rFonts w:hint="eastAsia"/>
                <w:b/>
                <w:bCs/>
              </w:rPr>
              <w:t>拟投入本项目职务</w:t>
            </w:r>
          </w:p>
        </w:tc>
        <w:tc>
          <w:tcPr>
            <w:tcW w:w="1626" w:type="dxa"/>
            <w:vAlign w:val="center"/>
          </w:tcPr>
          <w:p>
            <w:pPr>
              <w:jc w:val="center"/>
              <w:rPr>
                <w:b/>
                <w:bCs/>
              </w:rPr>
            </w:pPr>
            <w:r>
              <w:rPr>
                <w:rFonts w:hint="eastAsia"/>
                <w:b/>
                <w:bCs/>
              </w:rPr>
              <w:t>姓名</w:t>
            </w:r>
          </w:p>
        </w:tc>
        <w:tc>
          <w:tcPr>
            <w:tcW w:w="1626" w:type="dxa"/>
            <w:vAlign w:val="center"/>
          </w:tcPr>
          <w:p>
            <w:pPr>
              <w:jc w:val="center"/>
              <w:rPr>
                <w:b/>
                <w:bCs/>
              </w:rPr>
            </w:pPr>
            <w:r>
              <w:rPr>
                <w:rFonts w:hint="eastAsia"/>
                <w:b/>
                <w:bCs/>
              </w:rPr>
              <w:t>性别</w:t>
            </w:r>
          </w:p>
        </w:tc>
        <w:tc>
          <w:tcPr>
            <w:tcW w:w="1627" w:type="dxa"/>
            <w:vAlign w:val="center"/>
          </w:tcPr>
          <w:p>
            <w:pPr>
              <w:jc w:val="center"/>
              <w:rPr>
                <w:b/>
                <w:bCs/>
              </w:rPr>
            </w:pPr>
            <w:r>
              <w:rPr>
                <w:rFonts w:hint="eastAsia"/>
                <w:b/>
                <w:bCs/>
              </w:rPr>
              <w:t>年龄</w:t>
            </w:r>
          </w:p>
        </w:tc>
        <w:tc>
          <w:tcPr>
            <w:tcW w:w="1627" w:type="dxa"/>
            <w:vAlign w:val="center"/>
          </w:tcPr>
          <w:p>
            <w:pPr>
              <w:jc w:val="center"/>
              <w:rPr>
                <w:b/>
                <w:bCs/>
              </w:rPr>
            </w:pPr>
            <w:r>
              <w:rPr>
                <w:rFonts w:hint="eastAsia"/>
                <w:b/>
                <w:bCs/>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vAlign w:val="center"/>
          </w:tcPr>
          <w:p>
            <w:pPr>
              <w:jc w:val="center"/>
              <w:rPr>
                <w:rFonts w:ascii="宋体" w:hAnsi="宋体" w:eastAsia="宋体" w:cs="宋体"/>
                <w:szCs w:val="21"/>
              </w:rPr>
            </w:pPr>
            <w:r>
              <w:rPr>
                <w:rFonts w:hint="eastAsia" w:ascii="宋体" w:hAnsi="宋体" w:eastAsia="宋体" w:cs="宋体"/>
                <w:szCs w:val="21"/>
              </w:rPr>
              <w:t>1</w:t>
            </w:r>
          </w:p>
        </w:tc>
        <w:tc>
          <w:tcPr>
            <w:tcW w:w="2177" w:type="dxa"/>
            <w:vAlign w:val="center"/>
          </w:tcPr>
          <w:p>
            <w:pPr>
              <w:jc w:val="center"/>
              <w:rPr>
                <w:b/>
                <w:bCs/>
              </w:rPr>
            </w:pPr>
          </w:p>
        </w:tc>
        <w:tc>
          <w:tcPr>
            <w:tcW w:w="1626" w:type="dxa"/>
            <w:vAlign w:val="center"/>
          </w:tcPr>
          <w:p>
            <w:pPr>
              <w:jc w:val="center"/>
              <w:rPr>
                <w:b/>
                <w:bCs/>
              </w:rPr>
            </w:pPr>
          </w:p>
        </w:tc>
        <w:tc>
          <w:tcPr>
            <w:tcW w:w="1626" w:type="dxa"/>
            <w:vAlign w:val="center"/>
          </w:tcPr>
          <w:p>
            <w:pPr>
              <w:jc w:val="center"/>
              <w:rPr>
                <w:b/>
                <w:bCs/>
              </w:rPr>
            </w:pPr>
          </w:p>
        </w:tc>
        <w:tc>
          <w:tcPr>
            <w:tcW w:w="1627" w:type="dxa"/>
            <w:vAlign w:val="center"/>
          </w:tcPr>
          <w:p>
            <w:pPr>
              <w:jc w:val="center"/>
              <w:rPr>
                <w:b/>
                <w:bCs/>
              </w:rPr>
            </w:pPr>
          </w:p>
        </w:tc>
        <w:tc>
          <w:tcPr>
            <w:tcW w:w="1627"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vAlign w:val="center"/>
          </w:tcPr>
          <w:p>
            <w:pPr>
              <w:jc w:val="center"/>
              <w:rPr>
                <w:rFonts w:ascii="宋体" w:hAnsi="宋体" w:eastAsia="宋体" w:cs="宋体"/>
                <w:szCs w:val="21"/>
              </w:rPr>
            </w:pPr>
            <w:r>
              <w:rPr>
                <w:rFonts w:hint="eastAsia" w:ascii="宋体" w:hAnsi="宋体" w:eastAsia="宋体" w:cs="宋体"/>
                <w:szCs w:val="21"/>
              </w:rPr>
              <w:t>2</w:t>
            </w:r>
          </w:p>
        </w:tc>
        <w:tc>
          <w:tcPr>
            <w:tcW w:w="2177" w:type="dxa"/>
            <w:vAlign w:val="center"/>
          </w:tcPr>
          <w:p>
            <w:pPr>
              <w:jc w:val="center"/>
              <w:rPr>
                <w:b/>
                <w:bCs/>
              </w:rPr>
            </w:pPr>
          </w:p>
        </w:tc>
        <w:tc>
          <w:tcPr>
            <w:tcW w:w="1626" w:type="dxa"/>
            <w:vAlign w:val="center"/>
          </w:tcPr>
          <w:p>
            <w:pPr>
              <w:jc w:val="center"/>
              <w:rPr>
                <w:b/>
                <w:bCs/>
              </w:rPr>
            </w:pPr>
          </w:p>
        </w:tc>
        <w:tc>
          <w:tcPr>
            <w:tcW w:w="1626" w:type="dxa"/>
            <w:vAlign w:val="center"/>
          </w:tcPr>
          <w:p>
            <w:pPr>
              <w:jc w:val="center"/>
              <w:rPr>
                <w:b/>
                <w:bCs/>
              </w:rPr>
            </w:pPr>
          </w:p>
        </w:tc>
        <w:tc>
          <w:tcPr>
            <w:tcW w:w="1627" w:type="dxa"/>
            <w:vAlign w:val="center"/>
          </w:tcPr>
          <w:p>
            <w:pPr>
              <w:jc w:val="center"/>
              <w:rPr>
                <w:b/>
                <w:bCs/>
              </w:rPr>
            </w:pPr>
          </w:p>
        </w:tc>
        <w:tc>
          <w:tcPr>
            <w:tcW w:w="1627"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vAlign w:val="center"/>
          </w:tcPr>
          <w:p>
            <w:pPr>
              <w:jc w:val="center"/>
              <w:rPr>
                <w:rFonts w:ascii="宋体" w:hAnsi="宋体" w:eastAsia="宋体" w:cs="宋体"/>
                <w:szCs w:val="21"/>
              </w:rPr>
            </w:pPr>
            <w:r>
              <w:rPr>
                <w:rFonts w:hint="eastAsia" w:ascii="宋体" w:hAnsi="宋体" w:eastAsia="宋体" w:cs="宋体"/>
                <w:szCs w:val="21"/>
              </w:rPr>
              <w:t>3</w:t>
            </w:r>
          </w:p>
        </w:tc>
        <w:tc>
          <w:tcPr>
            <w:tcW w:w="2177" w:type="dxa"/>
            <w:vAlign w:val="center"/>
          </w:tcPr>
          <w:p>
            <w:pPr>
              <w:jc w:val="center"/>
              <w:rPr>
                <w:b/>
                <w:bCs/>
              </w:rPr>
            </w:pPr>
          </w:p>
        </w:tc>
        <w:tc>
          <w:tcPr>
            <w:tcW w:w="1626" w:type="dxa"/>
            <w:vAlign w:val="center"/>
          </w:tcPr>
          <w:p>
            <w:pPr>
              <w:jc w:val="center"/>
              <w:rPr>
                <w:b/>
                <w:bCs/>
              </w:rPr>
            </w:pPr>
          </w:p>
        </w:tc>
        <w:tc>
          <w:tcPr>
            <w:tcW w:w="1626" w:type="dxa"/>
            <w:vAlign w:val="center"/>
          </w:tcPr>
          <w:p>
            <w:pPr>
              <w:jc w:val="center"/>
              <w:rPr>
                <w:b/>
                <w:bCs/>
              </w:rPr>
            </w:pPr>
          </w:p>
        </w:tc>
        <w:tc>
          <w:tcPr>
            <w:tcW w:w="1627" w:type="dxa"/>
            <w:vAlign w:val="center"/>
          </w:tcPr>
          <w:p>
            <w:pPr>
              <w:jc w:val="center"/>
              <w:rPr>
                <w:b/>
                <w:bCs/>
              </w:rPr>
            </w:pPr>
          </w:p>
        </w:tc>
        <w:tc>
          <w:tcPr>
            <w:tcW w:w="1627"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vAlign w:val="center"/>
          </w:tcPr>
          <w:p>
            <w:pPr>
              <w:jc w:val="center"/>
              <w:rPr>
                <w:rFonts w:ascii="宋体" w:hAnsi="宋体" w:eastAsia="宋体" w:cs="宋体"/>
                <w:szCs w:val="21"/>
              </w:rPr>
            </w:pPr>
            <w:r>
              <w:rPr>
                <w:rFonts w:hint="eastAsia" w:ascii="宋体" w:hAnsi="宋体" w:eastAsia="宋体" w:cs="宋体"/>
                <w:szCs w:val="21"/>
              </w:rPr>
              <w:t>4</w:t>
            </w:r>
          </w:p>
        </w:tc>
        <w:tc>
          <w:tcPr>
            <w:tcW w:w="2177" w:type="dxa"/>
            <w:vAlign w:val="center"/>
          </w:tcPr>
          <w:p>
            <w:pPr>
              <w:jc w:val="center"/>
              <w:rPr>
                <w:b/>
                <w:bCs/>
              </w:rPr>
            </w:pPr>
          </w:p>
        </w:tc>
        <w:tc>
          <w:tcPr>
            <w:tcW w:w="1626" w:type="dxa"/>
            <w:vAlign w:val="center"/>
          </w:tcPr>
          <w:p>
            <w:pPr>
              <w:jc w:val="center"/>
              <w:rPr>
                <w:b/>
                <w:bCs/>
              </w:rPr>
            </w:pPr>
          </w:p>
        </w:tc>
        <w:tc>
          <w:tcPr>
            <w:tcW w:w="1626" w:type="dxa"/>
            <w:vAlign w:val="center"/>
          </w:tcPr>
          <w:p>
            <w:pPr>
              <w:jc w:val="center"/>
              <w:rPr>
                <w:b/>
                <w:bCs/>
              </w:rPr>
            </w:pPr>
          </w:p>
        </w:tc>
        <w:tc>
          <w:tcPr>
            <w:tcW w:w="1627" w:type="dxa"/>
            <w:vAlign w:val="center"/>
          </w:tcPr>
          <w:p>
            <w:pPr>
              <w:jc w:val="center"/>
              <w:rPr>
                <w:b/>
                <w:bCs/>
              </w:rPr>
            </w:pPr>
          </w:p>
        </w:tc>
        <w:tc>
          <w:tcPr>
            <w:tcW w:w="1627"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vAlign w:val="center"/>
          </w:tcPr>
          <w:p>
            <w:pPr>
              <w:jc w:val="center"/>
              <w:rPr>
                <w:rFonts w:ascii="宋体" w:hAnsi="宋体" w:eastAsia="宋体" w:cs="宋体"/>
                <w:szCs w:val="21"/>
              </w:rPr>
            </w:pPr>
            <w:r>
              <w:rPr>
                <w:rFonts w:hint="eastAsia" w:ascii="宋体" w:hAnsi="宋体" w:eastAsia="宋体" w:cs="宋体"/>
                <w:szCs w:val="21"/>
              </w:rPr>
              <w:t>5</w:t>
            </w:r>
          </w:p>
        </w:tc>
        <w:tc>
          <w:tcPr>
            <w:tcW w:w="2177" w:type="dxa"/>
            <w:vAlign w:val="center"/>
          </w:tcPr>
          <w:p>
            <w:pPr>
              <w:jc w:val="center"/>
              <w:rPr>
                <w:b/>
                <w:bCs/>
              </w:rPr>
            </w:pPr>
          </w:p>
        </w:tc>
        <w:tc>
          <w:tcPr>
            <w:tcW w:w="1626" w:type="dxa"/>
            <w:vAlign w:val="center"/>
          </w:tcPr>
          <w:p>
            <w:pPr>
              <w:jc w:val="center"/>
              <w:rPr>
                <w:b/>
                <w:bCs/>
              </w:rPr>
            </w:pPr>
          </w:p>
        </w:tc>
        <w:tc>
          <w:tcPr>
            <w:tcW w:w="1626" w:type="dxa"/>
            <w:vAlign w:val="center"/>
          </w:tcPr>
          <w:p>
            <w:pPr>
              <w:jc w:val="center"/>
              <w:rPr>
                <w:b/>
                <w:bCs/>
              </w:rPr>
            </w:pPr>
          </w:p>
        </w:tc>
        <w:tc>
          <w:tcPr>
            <w:tcW w:w="1627" w:type="dxa"/>
            <w:vAlign w:val="center"/>
          </w:tcPr>
          <w:p>
            <w:pPr>
              <w:jc w:val="center"/>
              <w:rPr>
                <w:b/>
                <w:bCs/>
              </w:rPr>
            </w:pPr>
          </w:p>
        </w:tc>
        <w:tc>
          <w:tcPr>
            <w:tcW w:w="1627"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vAlign w:val="center"/>
          </w:tcPr>
          <w:p>
            <w:pPr>
              <w:jc w:val="center"/>
              <w:rPr>
                <w:rFonts w:ascii="宋体" w:hAnsi="宋体" w:eastAsia="宋体" w:cs="宋体"/>
                <w:szCs w:val="21"/>
              </w:rPr>
            </w:pPr>
            <w:r>
              <w:rPr>
                <w:rFonts w:hint="eastAsia" w:ascii="宋体" w:hAnsi="宋体" w:eastAsia="宋体" w:cs="宋体"/>
                <w:szCs w:val="21"/>
              </w:rPr>
              <w:t>6</w:t>
            </w:r>
          </w:p>
        </w:tc>
        <w:tc>
          <w:tcPr>
            <w:tcW w:w="2177" w:type="dxa"/>
            <w:vAlign w:val="center"/>
          </w:tcPr>
          <w:p>
            <w:pPr>
              <w:jc w:val="center"/>
              <w:rPr>
                <w:b/>
                <w:bCs/>
              </w:rPr>
            </w:pPr>
          </w:p>
        </w:tc>
        <w:tc>
          <w:tcPr>
            <w:tcW w:w="1626" w:type="dxa"/>
            <w:vAlign w:val="center"/>
          </w:tcPr>
          <w:p>
            <w:pPr>
              <w:jc w:val="center"/>
              <w:rPr>
                <w:b/>
                <w:bCs/>
              </w:rPr>
            </w:pPr>
          </w:p>
        </w:tc>
        <w:tc>
          <w:tcPr>
            <w:tcW w:w="1626" w:type="dxa"/>
            <w:vAlign w:val="center"/>
          </w:tcPr>
          <w:p>
            <w:pPr>
              <w:jc w:val="center"/>
              <w:rPr>
                <w:b/>
                <w:bCs/>
              </w:rPr>
            </w:pPr>
          </w:p>
        </w:tc>
        <w:tc>
          <w:tcPr>
            <w:tcW w:w="1627" w:type="dxa"/>
            <w:vAlign w:val="center"/>
          </w:tcPr>
          <w:p>
            <w:pPr>
              <w:jc w:val="center"/>
              <w:rPr>
                <w:b/>
                <w:bCs/>
              </w:rPr>
            </w:pPr>
          </w:p>
        </w:tc>
        <w:tc>
          <w:tcPr>
            <w:tcW w:w="1627"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88" w:type="dxa"/>
            <w:vAlign w:val="center"/>
          </w:tcPr>
          <w:p>
            <w:pPr>
              <w:jc w:val="center"/>
            </w:pPr>
            <w:r>
              <w:rPr>
                <w:rFonts w:hint="eastAsia"/>
              </w:rPr>
              <w:t>......</w:t>
            </w:r>
          </w:p>
        </w:tc>
        <w:tc>
          <w:tcPr>
            <w:tcW w:w="2177" w:type="dxa"/>
            <w:vAlign w:val="center"/>
          </w:tcPr>
          <w:p>
            <w:pPr>
              <w:jc w:val="center"/>
              <w:rPr>
                <w:b/>
                <w:bCs/>
              </w:rPr>
            </w:pPr>
          </w:p>
        </w:tc>
        <w:tc>
          <w:tcPr>
            <w:tcW w:w="1626" w:type="dxa"/>
            <w:vAlign w:val="center"/>
          </w:tcPr>
          <w:p>
            <w:pPr>
              <w:jc w:val="center"/>
              <w:rPr>
                <w:b/>
                <w:bCs/>
              </w:rPr>
            </w:pPr>
          </w:p>
        </w:tc>
        <w:tc>
          <w:tcPr>
            <w:tcW w:w="1626" w:type="dxa"/>
            <w:vAlign w:val="center"/>
          </w:tcPr>
          <w:p>
            <w:pPr>
              <w:jc w:val="center"/>
              <w:rPr>
                <w:b/>
                <w:bCs/>
              </w:rPr>
            </w:pPr>
          </w:p>
        </w:tc>
        <w:tc>
          <w:tcPr>
            <w:tcW w:w="1627" w:type="dxa"/>
            <w:vAlign w:val="center"/>
          </w:tcPr>
          <w:p>
            <w:pPr>
              <w:jc w:val="center"/>
              <w:rPr>
                <w:b/>
                <w:bCs/>
              </w:rPr>
            </w:pPr>
          </w:p>
        </w:tc>
        <w:tc>
          <w:tcPr>
            <w:tcW w:w="1627" w:type="dxa"/>
            <w:vAlign w:val="center"/>
          </w:tcPr>
          <w:p>
            <w:pPr>
              <w:jc w:val="center"/>
              <w:rPr>
                <w:b/>
                <w:bCs/>
              </w:rPr>
            </w:pPr>
          </w:p>
        </w:tc>
      </w:tr>
    </w:tbl>
    <w:p>
      <w:pPr>
        <w:spacing w:line="360" w:lineRule="auto"/>
        <w:ind w:right="920"/>
        <w:jc w:val="center"/>
        <w:rPr>
          <w:rFonts w:ascii="宋体" w:hAnsi="宋体" w:eastAsia="宋体" w:cs="宋体"/>
        </w:rPr>
      </w:pPr>
    </w:p>
    <w:p>
      <w:pPr>
        <w:spacing w:line="360" w:lineRule="auto"/>
        <w:ind w:right="920"/>
        <w:jc w:val="left"/>
        <w:rPr>
          <w:rFonts w:ascii="宋体" w:hAnsi="宋体" w:eastAsia="宋体" w:cs="宋体"/>
        </w:rPr>
      </w:pPr>
      <w:r>
        <w:rPr>
          <w:rFonts w:hint="eastAsia" w:ascii="宋体" w:hAnsi="宋体" w:eastAsia="宋体" w:cs="宋体"/>
        </w:rPr>
        <w:t>注：1、本表格投标人根据需要自行删减</w:t>
      </w:r>
    </w:p>
    <w:p>
      <w:pPr>
        <w:pStyle w:val="21"/>
        <w:ind w:firstLineChars="200"/>
      </w:pPr>
      <w:r>
        <w:rPr>
          <w:rFonts w:hint="eastAsia" w:ascii="宋体" w:hAnsi="宋体" w:eastAsia="宋体" w:cs="宋体"/>
        </w:rPr>
        <w:t>2、本表后须</w:t>
      </w:r>
      <w:r>
        <w:t>附主要人员身份证、职称证书或执业资格证书等相关证件</w:t>
      </w:r>
      <w:r>
        <w:rPr>
          <w:rFonts w:hint="eastAsia"/>
        </w:rPr>
        <w:t>扫描</w:t>
      </w:r>
      <w:r>
        <w:t xml:space="preserve">件。 </w:t>
      </w:r>
    </w:p>
    <w:p>
      <w:pPr>
        <w:pStyle w:val="21"/>
        <w:ind w:firstLine="210"/>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rPr>
          <w:rFonts w:ascii="宋体" w:hAnsi="宋体" w:eastAsia="宋体" w:cs="宋体"/>
          <w:szCs w:val="21"/>
        </w:rPr>
      </w:pPr>
      <w:r>
        <w:rPr>
          <w:rFonts w:hint="eastAsia" w:ascii="宋体" w:hAnsi="宋体" w:eastAsia="宋体" w:cs="宋体"/>
          <w:szCs w:val="21"/>
        </w:rPr>
        <w:br w:type="page"/>
      </w:r>
    </w:p>
    <w:p>
      <w:pPr>
        <w:numPr>
          <w:ilvl w:val="0"/>
          <w:numId w:val="4"/>
        </w:numPr>
        <w:spacing w:line="360" w:lineRule="auto"/>
        <w:jc w:val="center"/>
        <w:outlineLvl w:val="1"/>
        <w:rPr>
          <w:rFonts w:ascii="宋体" w:hAnsi="宋体" w:eastAsia="宋体" w:cs="宋体"/>
          <w:b/>
          <w:sz w:val="30"/>
          <w:szCs w:val="30"/>
        </w:rPr>
      </w:pPr>
      <w:bookmarkStart w:id="204" w:name="_Toc2684"/>
      <w:r>
        <w:rPr>
          <w:rFonts w:hint="eastAsia" w:ascii="宋体" w:hAnsi="宋体" w:eastAsia="宋体" w:cs="宋体"/>
          <w:b/>
          <w:sz w:val="30"/>
          <w:szCs w:val="30"/>
        </w:rPr>
        <w:t>服务方案及措施</w:t>
      </w:r>
      <w:bookmarkEnd w:id="204"/>
    </w:p>
    <w:p>
      <w:pPr>
        <w:spacing w:line="360" w:lineRule="auto"/>
        <w:ind w:right="920" w:firstLine="3990" w:firstLineChars="1900"/>
        <w:rPr>
          <w:rFonts w:ascii="宋体" w:hAnsi="宋体" w:eastAsia="宋体" w:cs="宋体"/>
        </w:rPr>
      </w:pPr>
    </w:p>
    <w:p>
      <w:pPr>
        <w:spacing w:line="360" w:lineRule="auto"/>
        <w:ind w:right="920"/>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服务管理方案</w:t>
      </w:r>
    </w:p>
    <w:p>
      <w:pPr>
        <w:spacing w:line="360" w:lineRule="auto"/>
        <w:ind w:right="920"/>
        <w:jc w:val="lef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资金存管定制方案</w:t>
      </w:r>
    </w:p>
    <w:p>
      <w:pPr>
        <w:spacing w:line="360" w:lineRule="auto"/>
        <w:ind w:right="920"/>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资金监管计划及措施</w:t>
      </w:r>
    </w:p>
    <w:p>
      <w:pPr>
        <w:spacing w:line="360" w:lineRule="auto"/>
        <w:ind w:right="920"/>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风险管控机制</w:t>
      </w:r>
    </w:p>
    <w:p>
      <w:pPr>
        <w:spacing w:line="360" w:lineRule="auto"/>
        <w:ind w:right="920"/>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监管资金拨付审核方案</w:t>
      </w:r>
    </w:p>
    <w:p>
      <w:pPr>
        <w:spacing w:line="360" w:lineRule="auto"/>
        <w:ind w:right="920"/>
        <w:jc w:val="left"/>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服务过程中各阶段性核对、整理、移交等工作的方案</w:t>
      </w:r>
    </w:p>
    <w:p>
      <w:pPr>
        <w:spacing w:line="360" w:lineRule="auto"/>
        <w:ind w:right="920"/>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服务质量保障措施</w:t>
      </w:r>
    </w:p>
    <w:p>
      <w:pPr>
        <w:spacing w:line="360" w:lineRule="auto"/>
        <w:ind w:right="920"/>
        <w:jc w:val="left"/>
        <w:rPr>
          <w:rFonts w:ascii="宋体" w:hAnsi="宋体" w:eastAsia="宋体" w:cs="宋体"/>
        </w:rPr>
      </w:pPr>
      <w:r>
        <w:rPr>
          <w:rFonts w:hint="eastAsia" w:ascii="宋体" w:hAnsi="宋体" w:eastAsia="宋体" w:cs="宋体"/>
          <w:lang w:val="en-US" w:eastAsia="zh-CN"/>
        </w:rPr>
        <w:t>8、</w:t>
      </w:r>
      <w:r>
        <w:rPr>
          <w:rFonts w:hint="eastAsia" w:ascii="宋体" w:hAnsi="宋体" w:eastAsia="宋体" w:cs="宋体"/>
        </w:rPr>
        <w:t>保密措施</w:t>
      </w: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4200" w:firstLineChars="2000"/>
        <w:rPr>
          <w:rFonts w:ascii="宋体" w:hAnsi="宋体" w:eastAsia="宋体" w:cs="宋体"/>
        </w:rPr>
      </w:pPr>
      <w:r>
        <w:rPr>
          <w:rFonts w:hint="eastAsia" w:ascii="宋体" w:hAnsi="宋体" w:eastAsia="宋体" w:cs="宋体"/>
        </w:rPr>
        <w:t>投标人名称：____________（企业电子签章）</w:t>
      </w:r>
    </w:p>
    <w:p>
      <w:pPr>
        <w:spacing w:line="360" w:lineRule="auto"/>
        <w:ind w:right="920" w:firstLine="3150" w:firstLineChars="1500"/>
        <w:rPr>
          <w:rFonts w:ascii="宋体" w:hAnsi="宋体" w:eastAsia="宋体" w:cs="宋体"/>
        </w:rPr>
      </w:pPr>
      <w:r>
        <w:rPr>
          <w:rFonts w:hint="eastAsia" w:ascii="宋体" w:hAnsi="宋体" w:eastAsia="宋体" w:cs="宋体"/>
        </w:rPr>
        <w:t>法定代表人（负责人）：____________（</w:t>
      </w:r>
      <w:r>
        <w:rPr>
          <w:rFonts w:hint="eastAsia" w:ascii="宋体" w:hAnsi="宋体" w:eastAsia="宋体" w:cs="宋体"/>
          <w:szCs w:val="21"/>
        </w:rPr>
        <w:t>个人电子签章或签名</w:t>
      </w:r>
      <w:r>
        <w:rPr>
          <w:rFonts w:hint="eastAsia" w:ascii="宋体" w:hAnsi="宋体" w:eastAsia="宋体" w:cs="宋体"/>
        </w:rPr>
        <w:t>）</w:t>
      </w:r>
    </w:p>
    <w:p>
      <w:pPr>
        <w:pStyle w:val="34"/>
        <w:ind w:firstLine="4095" w:firstLineChars="1950"/>
        <w:rPr>
          <w:rFonts w:ascii="宋体" w:hAnsi="宋体" w:eastAsia="宋体" w:cs="宋体"/>
          <w:b/>
          <w:sz w:val="21"/>
          <w:szCs w:val="21"/>
        </w:rPr>
      </w:pPr>
      <w:r>
        <w:rPr>
          <w:rFonts w:hint="eastAsia" w:ascii="宋体" w:hAnsi="宋体" w:eastAsia="宋体" w:cs="宋体"/>
          <w:sz w:val="21"/>
          <w:szCs w:val="21"/>
        </w:rPr>
        <w:t>日      期： ____年____月_____日</w:t>
      </w:r>
    </w:p>
    <w:p>
      <w:pPr>
        <w:pStyle w:val="34"/>
        <w:rPr>
          <w:rFonts w:ascii="宋体" w:hAnsi="宋体" w:eastAsia="宋体" w:cs="宋体"/>
          <w:b/>
          <w:sz w:val="30"/>
          <w:szCs w:val="30"/>
        </w:rPr>
      </w:pPr>
    </w:p>
    <w:p>
      <w:pPr>
        <w:pStyle w:val="34"/>
        <w:rPr>
          <w:rFonts w:ascii="宋体" w:hAnsi="宋体" w:eastAsia="宋体" w:cs="宋体"/>
          <w:b/>
          <w:sz w:val="30"/>
          <w:szCs w:val="30"/>
        </w:rPr>
      </w:pPr>
    </w:p>
    <w:p>
      <w:pPr>
        <w:pStyle w:val="34"/>
        <w:rPr>
          <w:rFonts w:ascii="宋体" w:hAnsi="宋体" w:eastAsia="宋体" w:cs="宋体"/>
          <w:b/>
          <w:sz w:val="30"/>
          <w:szCs w:val="30"/>
        </w:rPr>
      </w:pPr>
    </w:p>
    <w:p>
      <w:pPr>
        <w:rPr>
          <w:rFonts w:ascii="宋体" w:hAnsi="宋体" w:eastAsia="宋体" w:cs="宋体"/>
          <w:b/>
          <w:sz w:val="30"/>
          <w:szCs w:val="30"/>
        </w:rPr>
      </w:pPr>
      <w:r>
        <w:rPr>
          <w:rFonts w:hint="eastAsia" w:ascii="宋体" w:hAnsi="宋体" w:eastAsia="宋体" w:cs="宋体"/>
          <w:b/>
          <w:sz w:val="30"/>
          <w:szCs w:val="30"/>
        </w:rPr>
        <w:br w:type="page"/>
      </w:r>
    </w:p>
    <w:p>
      <w:pPr>
        <w:numPr>
          <w:ilvl w:val="0"/>
          <w:numId w:val="4"/>
        </w:numPr>
        <w:spacing w:line="360" w:lineRule="auto"/>
        <w:jc w:val="center"/>
        <w:outlineLvl w:val="1"/>
        <w:rPr>
          <w:rFonts w:ascii="宋体" w:hAnsi="宋体" w:eastAsia="宋体" w:cs="宋体"/>
          <w:b/>
          <w:sz w:val="30"/>
          <w:szCs w:val="30"/>
        </w:rPr>
      </w:pPr>
      <w:bookmarkStart w:id="205" w:name="_Toc17420"/>
      <w:r>
        <w:rPr>
          <w:rFonts w:hint="eastAsia" w:ascii="宋体" w:hAnsi="宋体" w:eastAsia="宋体" w:cs="宋体"/>
          <w:b/>
          <w:sz w:val="30"/>
          <w:szCs w:val="30"/>
        </w:rPr>
        <w:t>资金监管业绩和软件服务能力</w:t>
      </w:r>
      <w:bookmarkEnd w:id="205"/>
    </w:p>
    <w:p>
      <w:pPr>
        <w:spacing w:line="360" w:lineRule="auto"/>
        <w:jc w:val="center"/>
        <w:rPr>
          <w:rFonts w:ascii="宋体" w:hAnsi="宋体" w:eastAsia="宋体" w:cs="宋体"/>
          <w:szCs w:val="21"/>
        </w:rPr>
      </w:pPr>
      <w:r>
        <w:rPr>
          <w:rFonts w:hint="eastAsia" w:ascii="宋体" w:hAnsi="宋体" w:eastAsia="宋体" w:cs="宋体"/>
          <w:color w:val="000000"/>
          <w:kern w:val="0"/>
          <w:sz w:val="20"/>
          <w:szCs w:val="20"/>
        </w:rPr>
        <w:t>（提供相应的证明文件或合同）</w:t>
      </w: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rPr>
          <w:rFonts w:ascii="宋体" w:hAnsi="宋体" w:eastAsia="宋体" w:cs="宋体"/>
          <w:szCs w:val="21"/>
        </w:rPr>
      </w:pPr>
      <w:r>
        <w:rPr>
          <w:rFonts w:hint="eastAsia" w:ascii="宋体" w:hAnsi="宋体" w:eastAsia="宋体" w:cs="宋体"/>
          <w:szCs w:val="21"/>
        </w:rPr>
        <w:br w:type="page"/>
      </w:r>
    </w:p>
    <w:p>
      <w:pPr>
        <w:numPr>
          <w:ilvl w:val="0"/>
          <w:numId w:val="4"/>
        </w:numPr>
        <w:spacing w:line="360" w:lineRule="auto"/>
        <w:jc w:val="center"/>
        <w:outlineLvl w:val="1"/>
        <w:rPr>
          <w:rFonts w:ascii="宋体" w:hAnsi="宋体" w:eastAsia="宋体" w:cs="宋体"/>
          <w:b/>
          <w:sz w:val="30"/>
          <w:szCs w:val="30"/>
        </w:rPr>
      </w:pPr>
      <w:bookmarkStart w:id="206" w:name="_Toc8888"/>
      <w:r>
        <w:rPr>
          <w:rFonts w:hint="eastAsia" w:ascii="宋体" w:hAnsi="宋体" w:eastAsia="宋体" w:cs="宋体"/>
          <w:b/>
          <w:sz w:val="30"/>
          <w:szCs w:val="30"/>
        </w:rPr>
        <w:t>服务承诺</w:t>
      </w:r>
      <w:bookmarkEnd w:id="206"/>
    </w:p>
    <w:p>
      <w:pPr>
        <w:rPr>
          <w:rFonts w:ascii="宋体" w:hAnsi="宋体" w:eastAsia="宋体" w:cs="宋体"/>
        </w:rPr>
      </w:pPr>
      <w:r>
        <w:rPr>
          <w:rFonts w:hint="eastAsia" w:ascii="宋体" w:hAnsi="宋体" w:eastAsia="宋体" w:cs="宋体"/>
        </w:rPr>
        <w:t>1、人员、技术、设备的承诺</w:t>
      </w:r>
    </w:p>
    <w:p>
      <w:pPr>
        <w:rPr>
          <w:rFonts w:ascii="宋体" w:hAnsi="宋体" w:eastAsia="宋体" w:cs="宋体"/>
        </w:rPr>
      </w:pPr>
      <w:r>
        <w:rPr>
          <w:rFonts w:hint="eastAsia" w:ascii="宋体" w:hAnsi="宋体" w:eastAsia="宋体" w:cs="宋体"/>
        </w:rPr>
        <w:t>2、专户的管理的承诺</w:t>
      </w:r>
    </w:p>
    <w:p>
      <w:pPr>
        <w:rPr>
          <w:rFonts w:ascii="宋体" w:hAnsi="宋体" w:eastAsia="宋体" w:cs="宋体"/>
          <w:szCs w:val="21"/>
        </w:rPr>
      </w:pPr>
      <w:r>
        <w:rPr>
          <w:rFonts w:hint="eastAsia" w:ascii="宋体" w:hAnsi="宋体" w:eastAsia="宋体" w:cs="宋体"/>
        </w:rPr>
        <w:t>3、职责及监管的承诺</w:t>
      </w:r>
    </w:p>
    <w:p>
      <w:r>
        <w:rPr>
          <w:rFonts w:hint="eastAsia" w:ascii="宋体" w:hAnsi="宋体" w:eastAsia="宋体" w:cs="宋体"/>
        </w:rPr>
        <w:t>4、其他实质性的承诺</w:t>
      </w: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p>
    <w:p>
      <w:pPr>
        <w:pStyle w:val="11"/>
        <w:rPr>
          <w:rFonts w:ascii="宋体" w:hAnsi="宋体" w:eastAsia="宋体" w:cs="宋体"/>
        </w:rPr>
      </w:pPr>
    </w:p>
    <w:p/>
    <w:p>
      <w:pPr>
        <w:spacing w:line="360" w:lineRule="auto"/>
        <w:ind w:right="920" w:firstLine="3990" w:firstLineChars="1900"/>
        <w:rPr>
          <w:rFonts w:ascii="宋体" w:hAnsi="宋体" w:eastAsia="宋体" w:cs="宋体"/>
        </w:rPr>
      </w:pPr>
    </w:p>
    <w:p>
      <w:pPr>
        <w:spacing w:line="360" w:lineRule="auto"/>
        <w:ind w:right="920" w:firstLine="3990" w:firstLineChars="1900"/>
        <w:rPr>
          <w:rFonts w:ascii="宋体" w:hAnsi="宋体" w:eastAsia="宋体" w:cs="宋体"/>
        </w:rPr>
      </w:pPr>
      <w:r>
        <w:rPr>
          <w:rFonts w:hint="eastAsia" w:ascii="宋体" w:hAnsi="宋体" w:eastAsia="宋体" w:cs="宋体"/>
        </w:rPr>
        <w:t>投标人名称：____________（企业电子签章）</w:t>
      </w:r>
    </w:p>
    <w:p>
      <w:pPr>
        <w:spacing w:line="360" w:lineRule="auto"/>
        <w:ind w:right="920" w:firstLine="3150" w:firstLineChars="1500"/>
        <w:rPr>
          <w:rFonts w:ascii="宋体" w:hAnsi="宋体" w:eastAsia="宋体" w:cs="宋体"/>
        </w:rPr>
      </w:pPr>
      <w:r>
        <w:rPr>
          <w:rFonts w:hint="eastAsia" w:ascii="宋体" w:hAnsi="宋体" w:eastAsia="宋体" w:cs="宋体"/>
        </w:rPr>
        <w:t>法定代表人（负责人）：____________（</w:t>
      </w:r>
      <w:r>
        <w:rPr>
          <w:rFonts w:hint="eastAsia" w:ascii="宋体" w:hAnsi="宋体" w:eastAsia="宋体" w:cs="宋体"/>
          <w:szCs w:val="21"/>
        </w:rPr>
        <w:t>个人电子签章或签名</w:t>
      </w:r>
      <w:r>
        <w:rPr>
          <w:rFonts w:hint="eastAsia" w:ascii="宋体" w:hAnsi="宋体" w:eastAsia="宋体" w:cs="宋体"/>
        </w:rPr>
        <w:t>）</w:t>
      </w:r>
    </w:p>
    <w:p>
      <w:pPr>
        <w:ind w:firstLine="3990" w:firstLineChars="1900"/>
      </w:pPr>
      <w:r>
        <w:rPr>
          <w:rFonts w:hint="eastAsia" w:ascii="宋体" w:hAnsi="宋体" w:eastAsia="宋体" w:cs="宋体"/>
        </w:rPr>
        <w:t>日      期： ____年____月_____日</w:t>
      </w:r>
      <w:r>
        <w:rPr>
          <w:rFonts w:hint="eastAsia"/>
        </w:rPr>
        <w:br w:type="page"/>
      </w:r>
    </w:p>
    <w:p>
      <w:pPr>
        <w:numPr>
          <w:ilvl w:val="0"/>
          <w:numId w:val="4"/>
        </w:numPr>
        <w:spacing w:line="400" w:lineRule="exact"/>
        <w:jc w:val="center"/>
        <w:outlineLvl w:val="1"/>
        <w:rPr>
          <w:rFonts w:ascii="宋体" w:hAnsi="宋体" w:eastAsia="宋体" w:cs="宋体"/>
          <w:b/>
          <w:bCs/>
          <w:sz w:val="28"/>
          <w:szCs w:val="28"/>
          <w:shd w:val="clear" w:color="auto" w:fill="FFFFFF"/>
        </w:rPr>
      </w:pPr>
      <w:bookmarkStart w:id="207" w:name="_Toc9617"/>
      <w:r>
        <w:rPr>
          <w:rFonts w:hint="eastAsia" w:ascii="宋体" w:hAnsi="宋体" w:eastAsia="宋体" w:cs="宋体"/>
          <w:b/>
          <w:bCs/>
          <w:sz w:val="28"/>
          <w:szCs w:val="28"/>
          <w:shd w:val="clear" w:color="auto" w:fill="FFFFFF"/>
        </w:rPr>
        <w:t>其他资料</w:t>
      </w:r>
      <w:bookmarkEnd w:id="207"/>
    </w:p>
    <w:p>
      <w:pPr>
        <w:spacing w:line="400" w:lineRule="exact"/>
        <w:jc w:val="center"/>
        <w:rPr>
          <w:rFonts w:ascii="宋体" w:hAnsi="宋体" w:eastAsia="宋体" w:cs="宋体"/>
          <w:b/>
          <w:bCs/>
          <w:sz w:val="28"/>
          <w:szCs w:val="28"/>
          <w:shd w:val="clear" w:color="auto" w:fill="FFFFFF"/>
        </w:rPr>
      </w:pPr>
    </w:p>
    <w:p>
      <w:pPr>
        <w:spacing w:line="400" w:lineRule="exact"/>
        <w:jc w:val="center"/>
        <w:outlineLvl w:val="1"/>
        <w:rPr>
          <w:rFonts w:ascii="宋体" w:hAnsi="宋体" w:eastAsia="宋体" w:cs="宋体"/>
          <w:szCs w:val="21"/>
          <w:shd w:val="clear" w:color="auto" w:fill="FFFFFF"/>
        </w:rPr>
      </w:pPr>
      <w:bookmarkStart w:id="208" w:name="_Toc24711"/>
      <w:bookmarkStart w:id="209" w:name="_Toc15773"/>
      <w:r>
        <w:rPr>
          <w:rFonts w:hint="eastAsia" w:ascii="宋体" w:hAnsi="宋体" w:eastAsia="宋体" w:cs="宋体"/>
          <w:szCs w:val="21"/>
          <w:shd w:val="clear" w:color="auto" w:fill="FFFFFF"/>
        </w:rPr>
        <w:t>（投标人认为有必要提供的其他资料）</w:t>
      </w:r>
      <w:bookmarkEnd w:id="208"/>
      <w:bookmarkEnd w:id="209"/>
    </w:p>
    <w:p>
      <w:pPr>
        <w:rPr>
          <w:rFonts w:ascii="宋体" w:hAnsi="宋体" w:eastAsia="宋体" w:cs="宋体"/>
        </w:rPr>
      </w:pPr>
    </w:p>
    <w:p>
      <w:pPr>
        <w:pStyle w:val="11"/>
      </w:pPr>
    </w:p>
    <w:p>
      <w:pPr>
        <w:spacing w:line="400" w:lineRule="exact"/>
        <w:jc w:val="center"/>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承诺书</w:t>
      </w:r>
    </w:p>
    <w:p>
      <w:pPr>
        <w:spacing w:line="400" w:lineRule="exact"/>
        <w:ind w:firstLine="422" w:firstLineChars="200"/>
        <w:rPr>
          <w:rFonts w:ascii="宋体" w:hAnsi="宋体" w:eastAsia="宋体" w:cs="宋体"/>
          <w:b/>
          <w:szCs w:val="21"/>
          <w:shd w:val="clear" w:color="auto" w:fill="FFFFFF"/>
        </w:rPr>
      </w:pPr>
    </w:p>
    <w:p>
      <w:pPr>
        <w:spacing w:line="400" w:lineRule="exact"/>
        <w:ind w:firstLine="420" w:firstLineChars="200"/>
        <w:rPr>
          <w:rFonts w:ascii="宋体" w:hAnsi="宋体" w:eastAsia="宋体" w:cs="宋体"/>
          <w:bCs/>
          <w:szCs w:val="21"/>
          <w:shd w:val="clear" w:color="auto" w:fill="FFFFFF"/>
        </w:rPr>
      </w:pPr>
      <w:r>
        <w:rPr>
          <w:rFonts w:hint="eastAsia" w:ascii="宋体" w:hAnsi="宋体" w:eastAsia="宋体" w:cs="宋体"/>
          <w:bCs/>
          <w:szCs w:val="21"/>
          <w:shd w:val="clear" w:color="auto" w:fill="FFFFFF"/>
        </w:rPr>
        <w:t xml:space="preserve">我公司承诺独自制作、修改和上传  </w:t>
      </w:r>
      <w:r>
        <w:rPr>
          <w:rFonts w:hint="eastAsia" w:ascii="宋体" w:hAnsi="宋体" w:eastAsia="宋体" w:cs="宋体"/>
          <w:bCs/>
          <w:szCs w:val="21"/>
          <w:u w:val="single"/>
          <w:shd w:val="clear" w:color="auto" w:fill="FFFFFF"/>
        </w:rPr>
        <w:t xml:space="preserve">                   </w:t>
      </w:r>
      <w:r>
        <w:rPr>
          <w:rFonts w:hint="eastAsia" w:ascii="宋体" w:hAnsi="宋体" w:eastAsia="宋体" w:cs="宋体"/>
          <w:bCs/>
          <w:szCs w:val="21"/>
        </w:rPr>
        <w:t>（项目名称）</w:t>
      </w:r>
      <w:r>
        <w:rPr>
          <w:rFonts w:hint="eastAsia" w:ascii="宋体" w:hAnsi="宋体" w:eastAsia="宋体" w:cs="宋体"/>
          <w:bCs/>
          <w:szCs w:val="21"/>
          <w:shd w:val="clear" w:color="auto" w:fill="FFFFFF"/>
        </w:rPr>
        <w:t>投标文件，并承担因‘硬件特征码一致’所造成的不良后果。</w:t>
      </w:r>
    </w:p>
    <w:p>
      <w:pPr>
        <w:pStyle w:val="4"/>
        <w:ind w:firstLine="560"/>
        <w:rPr>
          <w:rFonts w:ascii="宋体" w:hAnsi="宋体" w:eastAsia="宋体" w:cs="宋体"/>
          <w:bCs/>
        </w:rPr>
      </w:pPr>
    </w:p>
    <w:p>
      <w:pPr>
        <w:spacing w:line="360" w:lineRule="auto"/>
        <w:ind w:right="920" w:firstLine="3990" w:firstLineChars="1900"/>
        <w:rPr>
          <w:rFonts w:ascii="宋体" w:hAnsi="宋体" w:eastAsia="宋体" w:cs="宋体"/>
        </w:rPr>
      </w:pPr>
      <w:r>
        <w:rPr>
          <w:rFonts w:hint="eastAsia" w:ascii="宋体" w:hAnsi="宋体" w:eastAsia="宋体" w:cs="宋体"/>
        </w:rPr>
        <w:t>投标人名称：____________（企业电子签章）</w:t>
      </w:r>
    </w:p>
    <w:p>
      <w:pPr>
        <w:spacing w:line="360" w:lineRule="auto"/>
        <w:ind w:right="920" w:firstLine="3990" w:firstLineChars="1900"/>
        <w:rPr>
          <w:rFonts w:ascii="宋体" w:hAnsi="宋体" w:eastAsia="宋体" w:cs="宋体"/>
        </w:rPr>
      </w:pPr>
      <w:r>
        <w:rPr>
          <w:rFonts w:hint="eastAsia" w:ascii="宋体" w:hAnsi="宋体" w:eastAsia="宋体" w:cs="宋体"/>
        </w:rPr>
        <w:t>法定代表人：____________（</w:t>
      </w:r>
      <w:r>
        <w:rPr>
          <w:rFonts w:hint="eastAsia" w:ascii="宋体" w:hAnsi="宋体" w:eastAsia="宋体" w:cs="宋体"/>
          <w:szCs w:val="21"/>
        </w:rPr>
        <w:t>个人电子签章或签名</w:t>
      </w:r>
      <w:r>
        <w:rPr>
          <w:rFonts w:hint="eastAsia" w:ascii="宋体" w:hAnsi="宋体" w:eastAsia="宋体" w:cs="宋体"/>
        </w:rPr>
        <w:t>）</w:t>
      </w:r>
    </w:p>
    <w:p>
      <w:pPr>
        <w:ind w:firstLine="3990" w:firstLineChars="1900"/>
        <w:rPr>
          <w:rFonts w:ascii="宋体" w:hAnsi="宋体" w:eastAsia="宋体" w:cs="宋体"/>
        </w:rPr>
      </w:pPr>
      <w:r>
        <w:rPr>
          <w:rFonts w:hint="eastAsia" w:ascii="宋体" w:hAnsi="宋体" w:eastAsia="宋体" w:cs="宋体"/>
        </w:rPr>
        <w:t>日      期： ____年____月_____日</w:t>
      </w:r>
    </w:p>
    <w:p>
      <w:pPr>
        <w:ind w:firstLine="630" w:firstLineChars="300"/>
        <w:rPr>
          <w:rFonts w:ascii="宋体" w:hAnsi="宋体" w:eastAsia="宋体" w:cs="宋体"/>
        </w:rPr>
      </w:pPr>
    </w:p>
    <w:p>
      <w:pPr>
        <w:ind w:firstLine="630" w:firstLineChars="300"/>
        <w:rPr>
          <w:rFonts w:ascii="宋体" w:hAnsi="宋体" w:eastAsia="宋体" w:cs="宋体"/>
        </w:rPr>
      </w:pPr>
    </w:p>
    <w:p>
      <w:pPr>
        <w:ind w:firstLine="630" w:firstLineChars="300"/>
        <w:rPr>
          <w:rFonts w:ascii="宋体" w:hAnsi="宋体" w:eastAsia="宋体" w:cs="宋体"/>
        </w:rPr>
      </w:pPr>
    </w:p>
    <w:p/>
    <w:p>
      <w:pPr>
        <w:rPr>
          <w:rFonts w:ascii="宋体" w:hAnsi="宋体" w:eastAsia="宋体" w:cs="宋体"/>
        </w:rPr>
      </w:pPr>
    </w:p>
    <w:p>
      <w:pPr>
        <w:pStyle w:val="34"/>
        <w:rPr>
          <w:rFonts w:ascii="宋体" w:hAnsi="宋体" w:eastAsia="宋体" w:cs="宋体"/>
        </w:rPr>
      </w:pPr>
    </w:p>
    <w:p>
      <w:pPr>
        <w:pStyle w:val="34"/>
        <w:rPr>
          <w:rFonts w:ascii="宋体" w:hAnsi="宋体" w:eastAsia="宋体" w:cs="宋体"/>
        </w:rPr>
      </w:pPr>
    </w:p>
    <w:sectPr>
      <w:headerReference r:id="rId4" w:type="default"/>
      <w:footerReference r:id="rId5" w:type="default"/>
      <w:pgSz w:w="11906" w:h="16838"/>
      <w:pgMar w:top="1440" w:right="1080" w:bottom="1440" w:left="1080" w:header="964"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Copperplate Gothic Bold">
    <w:altName w:val="Segoe Print"/>
    <w:panose1 w:val="00000000000000000000"/>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2"/>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Theme="minorEastAsia"/>
        <w:sz w:val="18"/>
        <w:szCs w:val="18"/>
        <w:lang w:eastAsia="zh-CN"/>
      </w:rPr>
    </w:pPr>
    <w:r>
      <w:rPr>
        <w:sz w:val="18"/>
        <w:szCs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15"/>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20</w:t>
                </w:r>
                <w:r>
                  <w:rPr>
                    <w:rFonts w:hint="eastAsia"/>
                    <w:sz w:val="18"/>
                    <w:szCs w:val="18"/>
                  </w:rPr>
                  <w:fldChar w:fldCharType="end"/>
                </w:r>
                <w:r>
                  <w:rPr>
                    <w:rFonts w:hint="eastAsia"/>
                    <w:sz w:val="18"/>
                    <w:szCs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588BF"/>
    <w:multiLevelType w:val="singleLevel"/>
    <w:tmpl w:val="96B588BF"/>
    <w:lvl w:ilvl="0" w:tentative="0">
      <w:start w:val="3"/>
      <w:numFmt w:val="chineseCounting"/>
      <w:suff w:val="nothing"/>
      <w:lvlText w:val="%1、"/>
      <w:lvlJc w:val="left"/>
      <w:rPr>
        <w:rFonts w:hint="eastAsia"/>
      </w:rPr>
    </w:lvl>
  </w:abstractNum>
  <w:abstractNum w:abstractNumId="1">
    <w:nsid w:val="D756A12F"/>
    <w:multiLevelType w:val="singleLevel"/>
    <w:tmpl w:val="D756A12F"/>
    <w:lvl w:ilvl="0" w:tentative="0">
      <w:start w:val="4"/>
      <w:numFmt w:val="chineseCounting"/>
      <w:suff w:val="nothing"/>
      <w:lvlText w:val="%1、"/>
      <w:lvlJc w:val="left"/>
      <w:rPr>
        <w:rFonts w:hint="eastAsia"/>
      </w:rPr>
    </w:lvl>
  </w:abstractNum>
  <w:abstractNum w:abstractNumId="2">
    <w:nsid w:val="D803DAB0"/>
    <w:multiLevelType w:val="singleLevel"/>
    <w:tmpl w:val="D803DAB0"/>
    <w:lvl w:ilvl="0" w:tentative="0">
      <w:start w:val="1"/>
      <w:numFmt w:val="decimal"/>
      <w:lvlText w:val="%1."/>
      <w:lvlJc w:val="left"/>
      <w:pPr>
        <w:tabs>
          <w:tab w:val="left" w:pos="312"/>
        </w:tabs>
      </w:pPr>
    </w:lvl>
  </w:abstractNum>
  <w:abstractNum w:abstractNumId="3">
    <w:nsid w:val="3A9330D4"/>
    <w:multiLevelType w:val="singleLevel"/>
    <w:tmpl w:val="3A9330D4"/>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5YmYxYjFkMDkyN2JmYzRlYTIwNmNjYTkzMjFiZjIifQ=="/>
  </w:docVars>
  <w:rsids>
    <w:rsidRoot w:val="3EA425EE"/>
    <w:rsid w:val="000C6123"/>
    <w:rsid w:val="001176DE"/>
    <w:rsid w:val="00163F7C"/>
    <w:rsid w:val="001C269B"/>
    <w:rsid w:val="001D5456"/>
    <w:rsid w:val="0027727F"/>
    <w:rsid w:val="00280B54"/>
    <w:rsid w:val="002A1DB3"/>
    <w:rsid w:val="00355F4F"/>
    <w:rsid w:val="00472A7E"/>
    <w:rsid w:val="004B49B5"/>
    <w:rsid w:val="00521479"/>
    <w:rsid w:val="00547CBB"/>
    <w:rsid w:val="00596547"/>
    <w:rsid w:val="005A2B50"/>
    <w:rsid w:val="0077249B"/>
    <w:rsid w:val="007C11F2"/>
    <w:rsid w:val="007C417F"/>
    <w:rsid w:val="007D576F"/>
    <w:rsid w:val="008255CE"/>
    <w:rsid w:val="00830943"/>
    <w:rsid w:val="00843B3B"/>
    <w:rsid w:val="00877B19"/>
    <w:rsid w:val="009157AC"/>
    <w:rsid w:val="009A5359"/>
    <w:rsid w:val="009F2D29"/>
    <w:rsid w:val="00A03342"/>
    <w:rsid w:val="00A46DCE"/>
    <w:rsid w:val="00AB1ED9"/>
    <w:rsid w:val="00AC77D1"/>
    <w:rsid w:val="00AE3EFE"/>
    <w:rsid w:val="00AF22F2"/>
    <w:rsid w:val="00C048E5"/>
    <w:rsid w:val="00C854BE"/>
    <w:rsid w:val="00D71D43"/>
    <w:rsid w:val="00D72DC8"/>
    <w:rsid w:val="00D90494"/>
    <w:rsid w:val="00D92CCE"/>
    <w:rsid w:val="00DD31C2"/>
    <w:rsid w:val="00E0770D"/>
    <w:rsid w:val="00EA221C"/>
    <w:rsid w:val="00F73A2F"/>
    <w:rsid w:val="00FA4BCF"/>
    <w:rsid w:val="01281B77"/>
    <w:rsid w:val="01334DBA"/>
    <w:rsid w:val="01AE22C8"/>
    <w:rsid w:val="02781BC8"/>
    <w:rsid w:val="02DC2156"/>
    <w:rsid w:val="030D2310"/>
    <w:rsid w:val="031511C4"/>
    <w:rsid w:val="03157416"/>
    <w:rsid w:val="03DD1CE2"/>
    <w:rsid w:val="03E905A1"/>
    <w:rsid w:val="04013060"/>
    <w:rsid w:val="04644B57"/>
    <w:rsid w:val="047168CE"/>
    <w:rsid w:val="04876850"/>
    <w:rsid w:val="049003DF"/>
    <w:rsid w:val="04E603D5"/>
    <w:rsid w:val="05005DB2"/>
    <w:rsid w:val="05504736"/>
    <w:rsid w:val="05516791"/>
    <w:rsid w:val="0574367F"/>
    <w:rsid w:val="05B747B5"/>
    <w:rsid w:val="06823015"/>
    <w:rsid w:val="06A65A29"/>
    <w:rsid w:val="06A72A7B"/>
    <w:rsid w:val="06CB1959"/>
    <w:rsid w:val="06F832D7"/>
    <w:rsid w:val="07602B26"/>
    <w:rsid w:val="07DB49A4"/>
    <w:rsid w:val="07EE4130"/>
    <w:rsid w:val="085F10A3"/>
    <w:rsid w:val="08892439"/>
    <w:rsid w:val="08931A9D"/>
    <w:rsid w:val="08E52240"/>
    <w:rsid w:val="09664528"/>
    <w:rsid w:val="09EF6C13"/>
    <w:rsid w:val="0A622F41"/>
    <w:rsid w:val="0A6937F7"/>
    <w:rsid w:val="0A6F78D3"/>
    <w:rsid w:val="0AB82267"/>
    <w:rsid w:val="0B1D1055"/>
    <w:rsid w:val="0B5807E8"/>
    <w:rsid w:val="0B642CE9"/>
    <w:rsid w:val="0B767AF6"/>
    <w:rsid w:val="0BAB0315"/>
    <w:rsid w:val="0BEB51B8"/>
    <w:rsid w:val="0CC009C0"/>
    <w:rsid w:val="0D7D4536"/>
    <w:rsid w:val="0DF1562F"/>
    <w:rsid w:val="0E290F59"/>
    <w:rsid w:val="0E2A1FC8"/>
    <w:rsid w:val="0E2A646C"/>
    <w:rsid w:val="0E581291"/>
    <w:rsid w:val="0EB640B1"/>
    <w:rsid w:val="0F133ADC"/>
    <w:rsid w:val="0F3D21CF"/>
    <w:rsid w:val="0F5C0C76"/>
    <w:rsid w:val="0FF35177"/>
    <w:rsid w:val="10967DE9"/>
    <w:rsid w:val="11C672AD"/>
    <w:rsid w:val="12105CE5"/>
    <w:rsid w:val="12985CA9"/>
    <w:rsid w:val="12AB1C90"/>
    <w:rsid w:val="12BB193D"/>
    <w:rsid w:val="13712447"/>
    <w:rsid w:val="139B7526"/>
    <w:rsid w:val="14700951"/>
    <w:rsid w:val="148E3C6D"/>
    <w:rsid w:val="1561171F"/>
    <w:rsid w:val="15B605E5"/>
    <w:rsid w:val="16075E30"/>
    <w:rsid w:val="16105F47"/>
    <w:rsid w:val="161B340A"/>
    <w:rsid w:val="16304C16"/>
    <w:rsid w:val="164C3268"/>
    <w:rsid w:val="16905C66"/>
    <w:rsid w:val="16AB2E5D"/>
    <w:rsid w:val="16BA391D"/>
    <w:rsid w:val="16F86D26"/>
    <w:rsid w:val="171448A7"/>
    <w:rsid w:val="17147074"/>
    <w:rsid w:val="174D445B"/>
    <w:rsid w:val="17996410"/>
    <w:rsid w:val="17E53404"/>
    <w:rsid w:val="17E70F2A"/>
    <w:rsid w:val="17F72D6F"/>
    <w:rsid w:val="180970F2"/>
    <w:rsid w:val="182C1032"/>
    <w:rsid w:val="18493992"/>
    <w:rsid w:val="1864257A"/>
    <w:rsid w:val="18CB084B"/>
    <w:rsid w:val="18CD6178"/>
    <w:rsid w:val="18D30F86"/>
    <w:rsid w:val="1959481C"/>
    <w:rsid w:val="19682642"/>
    <w:rsid w:val="198509FA"/>
    <w:rsid w:val="19B1359D"/>
    <w:rsid w:val="19E8063D"/>
    <w:rsid w:val="1A622AE9"/>
    <w:rsid w:val="1A89451A"/>
    <w:rsid w:val="1AA92CF1"/>
    <w:rsid w:val="1ADA13B7"/>
    <w:rsid w:val="1B3C77DE"/>
    <w:rsid w:val="1B9B4505"/>
    <w:rsid w:val="1BEC4D61"/>
    <w:rsid w:val="1BEF65FF"/>
    <w:rsid w:val="1C322C80"/>
    <w:rsid w:val="1C8E1008"/>
    <w:rsid w:val="1CB6711D"/>
    <w:rsid w:val="1CD852E5"/>
    <w:rsid w:val="1CE04199"/>
    <w:rsid w:val="1CF1268B"/>
    <w:rsid w:val="1DC31248"/>
    <w:rsid w:val="1DCD0365"/>
    <w:rsid w:val="1DD737EE"/>
    <w:rsid w:val="1DE303E5"/>
    <w:rsid w:val="1E447858"/>
    <w:rsid w:val="1E5F016F"/>
    <w:rsid w:val="1E8700CD"/>
    <w:rsid w:val="1EE53404"/>
    <w:rsid w:val="1F0052FD"/>
    <w:rsid w:val="1F700D37"/>
    <w:rsid w:val="2000527E"/>
    <w:rsid w:val="201A52D6"/>
    <w:rsid w:val="20216FA3"/>
    <w:rsid w:val="20476A09"/>
    <w:rsid w:val="20631472"/>
    <w:rsid w:val="206F37B8"/>
    <w:rsid w:val="208A0D44"/>
    <w:rsid w:val="20C53DD2"/>
    <w:rsid w:val="20CC0DEE"/>
    <w:rsid w:val="2100092F"/>
    <w:rsid w:val="211D3798"/>
    <w:rsid w:val="21442F49"/>
    <w:rsid w:val="21472A39"/>
    <w:rsid w:val="217215EC"/>
    <w:rsid w:val="21B26104"/>
    <w:rsid w:val="21BA76AF"/>
    <w:rsid w:val="21C30312"/>
    <w:rsid w:val="21EB6F27"/>
    <w:rsid w:val="2217781A"/>
    <w:rsid w:val="22261A01"/>
    <w:rsid w:val="230644CE"/>
    <w:rsid w:val="23272F9C"/>
    <w:rsid w:val="233A4603"/>
    <w:rsid w:val="234A10DC"/>
    <w:rsid w:val="23582CDC"/>
    <w:rsid w:val="237044C9"/>
    <w:rsid w:val="23741A1F"/>
    <w:rsid w:val="23CF5291"/>
    <w:rsid w:val="23D74548"/>
    <w:rsid w:val="23E32EED"/>
    <w:rsid w:val="241C1F5B"/>
    <w:rsid w:val="2446347C"/>
    <w:rsid w:val="24942439"/>
    <w:rsid w:val="24B00846"/>
    <w:rsid w:val="24B725A9"/>
    <w:rsid w:val="24CC572F"/>
    <w:rsid w:val="24CE594B"/>
    <w:rsid w:val="24F133E8"/>
    <w:rsid w:val="25C420D2"/>
    <w:rsid w:val="25D0124F"/>
    <w:rsid w:val="25F0369F"/>
    <w:rsid w:val="26A1499A"/>
    <w:rsid w:val="26B64269"/>
    <w:rsid w:val="27133DF7"/>
    <w:rsid w:val="273A4F05"/>
    <w:rsid w:val="275B71CD"/>
    <w:rsid w:val="277540B8"/>
    <w:rsid w:val="27952750"/>
    <w:rsid w:val="27AC6415"/>
    <w:rsid w:val="27DF40A6"/>
    <w:rsid w:val="28013942"/>
    <w:rsid w:val="281F64BE"/>
    <w:rsid w:val="28213FE4"/>
    <w:rsid w:val="28A53B3C"/>
    <w:rsid w:val="28B5297E"/>
    <w:rsid w:val="28E00E06"/>
    <w:rsid w:val="28E82D54"/>
    <w:rsid w:val="28FC05AD"/>
    <w:rsid w:val="291B0A33"/>
    <w:rsid w:val="293D7C31"/>
    <w:rsid w:val="294B6F92"/>
    <w:rsid w:val="29972C9C"/>
    <w:rsid w:val="29E057D9"/>
    <w:rsid w:val="2A77438F"/>
    <w:rsid w:val="2A905451"/>
    <w:rsid w:val="2A996AF7"/>
    <w:rsid w:val="2AA809EC"/>
    <w:rsid w:val="2B090F80"/>
    <w:rsid w:val="2B670420"/>
    <w:rsid w:val="2B6E6ADF"/>
    <w:rsid w:val="2B6F150A"/>
    <w:rsid w:val="2BB67139"/>
    <w:rsid w:val="2BBF5FEE"/>
    <w:rsid w:val="2BC03B2C"/>
    <w:rsid w:val="2BF81500"/>
    <w:rsid w:val="2C167BD8"/>
    <w:rsid w:val="2C424529"/>
    <w:rsid w:val="2CB764FD"/>
    <w:rsid w:val="2CBE62A5"/>
    <w:rsid w:val="2CD31625"/>
    <w:rsid w:val="2D094E7D"/>
    <w:rsid w:val="2D377E06"/>
    <w:rsid w:val="2D8922E7"/>
    <w:rsid w:val="2DE80729"/>
    <w:rsid w:val="2E8221FD"/>
    <w:rsid w:val="2EA43279"/>
    <w:rsid w:val="2F266384"/>
    <w:rsid w:val="2F414F6C"/>
    <w:rsid w:val="2F6C023B"/>
    <w:rsid w:val="30111C85"/>
    <w:rsid w:val="30230897"/>
    <w:rsid w:val="303219B0"/>
    <w:rsid w:val="30422D49"/>
    <w:rsid w:val="30BF083E"/>
    <w:rsid w:val="311A5A74"/>
    <w:rsid w:val="312406A1"/>
    <w:rsid w:val="31700029"/>
    <w:rsid w:val="3186310A"/>
    <w:rsid w:val="322E5285"/>
    <w:rsid w:val="329C7909"/>
    <w:rsid w:val="32A777DC"/>
    <w:rsid w:val="32F10A57"/>
    <w:rsid w:val="331D59AF"/>
    <w:rsid w:val="33374FE9"/>
    <w:rsid w:val="33495D58"/>
    <w:rsid w:val="33A12D31"/>
    <w:rsid w:val="33C341A1"/>
    <w:rsid w:val="34515E07"/>
    <w:rsid w:val="34AE7D46"/>
    <w:rsid w:val="34BF0E0C"/>
    <w:rsid w:val="3511718E"/>
    <w:rsid w:val="351A24E7"/>
    <w:rsid w:val="351F1947"/>
    <w:rsid w:val="3555351F"/>
    <w:rsid w:val="35D52A5D"/>
    <w:rsid w:val="36267E02"/>
    <w:rsid w:val="36F56D2E"/>
    <w:rsid w:val="37696B94"/>
    <w:rsid w:val="37940F7C"/>
    <w:rsid w:val="37CB41C2"/>
    <w:rsid w:val="380F30C8"/>
    <w:rsid w:val="38EE0D7F"/>
    <w:rsid w:val="390E5EBF"/>
    <w:rsid w:val="39113C01"/>
    <w:rsid w:val="39CF724A"/>
    <w:rsid w:val="3A430DC5"/>
    <w:rsid w:val="3A663AD8"/>
    <w:rsid w:val="3AC058DE"/>
    <w:rsid w:val="3B2659CC"/>
    <w:rsid w:val="3B2D72D8"/>
    <w:rsid w:val="3B77232F"/>
    <w:rsid w:val="3B8561E0"/>
    <w:rsid w:val="3B903503"/>
    <w:rsid w:val="3BD3519D"/>
    <w:rsid w:val="3BE55195"/>
    <w:rsid w:val="3C060B6E"/>
    <w:rsid w:val="3C257F0F"/>
    <w:rsid w:val="3C371BD0"/>
    <w:rsid w:val="3CE84C78"/>
    <w:rsid w:val="3D0715A3"/>
    <w:rsid w:val="3D371FBE"/>
    <w:rsid w:val="3DBE7E76"/>
    <w:rsid w:val="3DC616BD"/>
    <w:rsid w:val="3DF064DB"/>
    <w:rsid w:val="3DFD33AA"/>
    <w:rsid w:val="3E2C74C2"/>
    <w:rsid w:val="3EA425EE"/>
    <w:rsid w:val="3EAF1EF2"/>
    <w:rsid w:val="3EC066E1"/>
    <w:rsid w:val="3EE81C6F"/>
    <w:rsid w:val="3F3B3785"/>
    <w:rsid w:val="3F665386"/>
    <w:rsid w:val="3F732F1F"/>
    <w:rsid w:val="3F7E3CE4"/>
    <w:rsid w:val="3F8B29F9"/>
    <w:rsid w:val="3F8C3FE1"/>
    <w:rsid w:val="3FA0183A"/>
    <w:rsid w:val="3FDB19CE"/>
    <w:rsid w:val="40407AAF"/>
    <w:rsid w:val="404978EA"/>
    <w:rsid w:val="40B21825"/>
    <w:rsid w:val="40E077EE"/>
    <w:rsid w:val="41151DB4"/>
    <w:rsid w:val="41592C89"/>
    <w:rsid w:val="416074D3"/>
    <w:rsid w:val="4182569C"/>
    <w:rsid w:val="41BD0482"/>
    <w:rsid w:val="420034C3"/>
    <w:rsid w:val="425231D3"/>
    <w:rsid w:val="441948F4"/>
    <w:rsid w:val="4440539A"/>
    <w:rsid w:val="444B7A53"/>
    <w:rsid w:val="445D419E"/>
    <w:rsid w:val="44B93C74"/>
    <w:rsid w:val="451F1453"/>
    <w:rsid w:val="45264590"/>
    <w:rsid w:val="452F5B3A"/>
    <w:rsid w:val="45417AA1"/>
    <w:rsid w:val="45A51959"/>
    <w:rsid w:val="45BE2A1A"/>
    <w:rsid w:val="46362EF9"/>
    <w:rsid w:val="463A4797"/>
    <w:rsid w:val="4649141A"/>
    <w:rsid w:val="46675B6D"/>
    <w:rsid w:val="4669765C"/>
    <w:rsid w:val="47D66741"/>
    <w:rsid w:val="48B9571B"/>
    <w:rsid w:val="48CE11C6"/>
    <w:rsid w:val="48F7754A"/>
    <w:rsid w:val="490163F0"/>
    <w:rsid w:val="490A1D89"/>
    <w:rsid w:val="49373210"/>
    <w:rsid w:val="496823EE"/>
    <w:rsid w:val="496F0BFB"/>
    <w:rsid w:val="499D7C02"/>
    <w:rsid w:val="4A06662F"/>
    <w:rsid w:val="4A62250E"/>
    <w:rsid w:val="4A791C24"/>
    <w:rsid w:val="4A9D70A2"/>
    <w:rsid w:val="4AC24D5B"/>
    <w:rsid w:val="4B3571A2"/>
    <w:rsid w:val="4B517E8D"/>
    <w:rsid w:val="4BBF1D3E"/>
    <w:rsid w:val="4BE331DB"/>
    <w:rsid w:val="4C3B7704"/>
    <w:rsid w:val="4C454224"/>
    <w:rsid w:val="4C714C8A"/>
    <w:rsid w:val="4CC428D1"/>
    <w:rsid w:val="4CD7109B"/>
    <w:rsid w:val="4CEB1B68"/>
    <w:rsid w:val="4D14707D"/>
    <w:rsid w:val="4D554788"/>
    <w:rsid w:val="4D821300"/>
    <w:rsid w:val="4E0905AD"/>
    <w:rsid w:val="4E487967"/>
    <w:rsid w:val="4E720846"/>
    <w:rsid w:val="4EEC23A6"/>
    <w:rsid w:val="4EF83441"/>
    <w:rsid w:val="4F0E056F"/>
    <w:rsid w:val="4FE94B38"/>
    <w:rsid w:val="50334005"/>
    <w:rsid w:val="503A1096"/>
    <w:rsid w:val="50D63281"/>
    <w:rsid w:val="50F047C8"/>
    <w:rsid w:val="50F1639A"/>
    <w:rsid w:val="51413B07"/>
    <w:rsid w:val="514166C9"/>
    <w:rsid w:val="514B3CFC"/>
    <w:rsid w:val="51826FF2"/>
    <w:rsid w:val="52132340"/>
    <w:rsid w:val="521F2A93"/>
    <w:rsid w:val="5229761E"/>
    <w:rsid w:val="522E0280"/>
    <w:rsid w:val="525070F0"/>
    <w:rsid w:val="525E28D7"/>
    <w:rsid w:val="52C8312A"/>
    <w:rsid w:val="52E837CD"/>
    <w:rsid w:val="52F23E09"/>
    <w:rsid w:val="53486CA4"/>
    <w:rsid w:val="5365571D"/>
    <w:rsid w:val="53AB6CD4"/>
    <w:rsid w:val="53B447E3"/>
    <w:rsid w:val="53E0716E"/>
    <w:rsid w:val="540E3642"/>
    <w:rsid w:val="54DF5B62"/>
    <w:rsid w:val="54EA0A60"/>
    <w:rsid w:val="54F268D9"/>
    <w:rsid w:val="55102B67"/>
    <w:rsid w:val="5511639A"/>
    <w:rsid w:val="55234D2A"/>
    <w:rsid w:val="554C30C7"/>
    <w:rsid w:val="55855303"/>
    <w:rsid w:val="559974C9"/>
    <w:rsid w:val="55A3797E"/>
    <w:rsid w:val="55B856D8"/>
    <w:rsid w:val="55F61D5C"/>
    <w:rsid w:val="567E23D4"/>
    <w:rsid w:val="57116414"/>
    <w:rsid w:val="57400DB0"/>
    <w:rsid w:val="575B27BF"/>
    <w:rsid w:val="57EF5992"/>
    <w:rsid w:val="580A346F"/>
    <w:rsid w:val="583D0A21"/>
    <w:rsid w:val="584E7C2E"/>
    <w:rsid w:val="589E6E07"/>
    <w:rsid w:val="58A350A7"/>
    <w:rsid w:val="58BF6D7E"/>
    <w:rsid w:val="58E32516"/>
    <w:rsid w:val="58EB7B73"/>
    <w:rsid w:val="58F97C8F"/>
    <w:rsid w:val="595F1E88"/>
    <w:rsid w:val="596733BB"/>
    <w:rsid w:val="59914276"/>
    <w:rsid w:val="5AA955EF"/>
    <w:rsid w:val="5AC92B4C"/>
    <w:rsid w:val="5AE44879"/>
    <w:rsid w:val="5B2A2098"/>
    <w:rsid w:val="5B3957A4"/>
    <w:rsid w:val="5B5639C9"/>
    <w:rsid w:val="5BFC5CBF"/>
    <w:rsid w:val="5C3655A9"/>
    <w:rsid w:val="5C366FAA"/>
    <w:rsid w:val="5C574BE7"/>
    <w:rsid w:val="5D303DA6"/>
    <w:rsid w:val="5D8416B5"/>
    <w:rsid w:val="5DA1635C"/>
    <w:rsid w:val="5E0F1C0D"/>
    <w:rsid w:val="5E512226"/>
    <w:rsid w:val="5E783C56"/>
    <w:rsid w:val="5E7B72A3"/>
    <w:rsid w:val="5E7D301B"/>
    <w:rsid w:val="5E96232F"/>
    <w:rsid w:val="5ECC173F"/>
    <w:rsid w:val="5F704621"/>
    <w:rsid w:val="5FF7215C"/>
    <w:rsid w:val="5FFA1AD9"/>
    <w:rsid w:val="60E32BE0"/>
    <w:rsid w:val="61007F33"/>
    <w:rsid w:val="613A68AF"/>
    <w:rsid w:val="616820F1"/>
    <w:rsid w:val="6171498D"/>
    <w:rsid w:val="618172C6"/>
    <w:rsid w:val="619568CD"/>
    <w:rsid w:val="61B249C7"/>
    <w:rsid w:val="61CD5F83"/>
    <w:rsid w:val="624C6C2C"/>
    <w:rsid w:val="62712E97"/>
    <w:rsid w:val="62D15241"/>
    <w:rsid w:val="62D32383"/>
    <w:rsid w:val="630A26C8"/>
    <w:rsid w:val="63291E34"/>
    <w:rsid w:val="63422A85"/>
    <w:rsid w:val="637B406F"/>
    <w:rsid w:val="63822E81"/>
    <w:rsid w:val="638F73D6"/>
    <w:rsid w:val="63A63014"/>
    <w:rsid w:val="63DC4C88"/>
    <w:rsid w:val="64235125"/>
    <w:rsid w:val="6453600E"/>
    <w:rsid w:val="645E38EF"/>
    <w:rsid w:val="64675295"/>
    <w:rsid w:val="64EC4A56"/>
    <w:rsid w:val="651F419B"/>
    <w:rsid w:val="653D3504"/>
    <w:rsid w:val="654B13F9"/>
    <w:rsid w:val="657C059D"/>
    <w:rsid w:val="658D71C3"/>
    <w:rsid w:val="65D224B8"/>
    <w:rsid w:val="662C478B"/>
    <w:rsid w:val="66763A1F"/>
    <w:rsid w:val="668A0FC1"/>
    <w:rsid w:val="66E31E89"/>
    <w:rsid w:val="66EA3218"/>
    <w:rsid w:val="66F61BAB"/>
    <w:rsid w:val="6746382A"/>
    <w:rsid w:val="676A25AA"/>
    <w:rsid w:val="67E906AB"/>
    <w:rsid w:val="67F02AB0"/>
    <w:rsid w:val="682360DE"/>
    <w:rsid w:val="68394457"/>
    <w:rsid w:val="68935866"/>
    <w:rsid w:val="68C854A9"/>
    <w:rsid w:val="68CA1553"/>
    <w:rsid w:val="690F6F65"/>
    <w:rsid w:val="69586B5E"/>
    <w:rsid w:val="698536CB"/>
    <w:rsid w:val="69B917A9"/>
    <w:rsid w:val="69B97B54"/>
    <w:rsid w:val="6A070584"/>
    <w:rsid w:val="6A7221C4"/>
    <w:rsid w:val="6A987144"/>
    <w:rsid w:val="6AAF6C52"/>
    <w:rsid w:val="6AC16985"/>
    <w:rsid w:val="6ACE4BFE"/>
    <w:rsid w:val="6AE85CC0"/>
    <w:rsid w:val="6B1271E1"/>
    <w:rsid w:val="6BA628DD"/>
    <w:rsid w:val="6BAF4A30"/>
    <w:rsid w:val="6BB42613"/>
    <w:rsid w:val="6C3A4A72"/>
    <w:rsid w:val="6C452D0A"/>
    <w:rsid w:val="6C731250"/>
    <w:rsid w:val="6C865790"/>
    <w:rsid w:val="6CCE69AC"/>
    <w:rsid w:val="6CDA3D2E"/>
    <w:rsid w:val="6D1C02BD"/>
    <w:rsid w:val="6D6C2652"/>
    <w:rsid w:val="6D723F67"/>
    <w:rsid w:val="6DBB5F58"/>
    <w:rsid w:val="6E4F40BD"/>
    <w:rsid w:val="6E7B6E4B"/>
    <w:rsid w:val="6EB32A89"/>
    <w:rsid w:val="6ECB1B80"/>
    <w:rsid w:val="6EFC3D3A"/>
    <w:rsid w:val="6F375468"/>
    <w:rsid w:val="6F471198"/>
    <w:rsid w:val="6F6A6344"/>
    <w:rsid w:val="6FA37304"/>
    <w:rsid w:val="6FBC2305"/>
    <w:rsid w:val="6FF018C8"/>
    <w:rsid w:val="70495453"/>
    <w:rsid w:val="705020FD"/>
    <w:rsid w:val="706F58E3"/>
    <w:rsid w:val="70C76378"/>
    <w:rsid w:val="70F47E89"/>
    <w:rsid w:val="71295AB7"/>
    <w:rsid w:val="713633DA"/>
    <w:rsid w:val="718F158B"/>
    <w:rsid w:val="71B43955"/>
    <w:rsid w:val="72165809"/>
    <w:rsid w:val="723510A9"/>
    <w:rsid w:val="724F0D1A"/>
    <w:rsid w:val="72695D95"/>
    <w:rsid w:val="7285473C"/>
    <w:rsid w:val="72C0271F"/>
    <w:rsid w:val="72ED0D76"/>
    <w:rsid w:val="7305036F"/>
    <w:rsid w:val="738557A7"/>
    <w:rsid w:val="73AD7AA7"/>
    <w:rsid w:val="73F10C52"/>
    <w:rsid w:val="741C69DA"/>
    <w:rsid w:val="74405237"/>
    <w:rsid w:val="744B4938"/>
    <w:rsid w:val="74A0363F"/>
    <w:rsid w:val="74BA0274"/>
    <w:rsid w:val="74DB2200"/>
    <w:rsid w:val="74FE35BE"/>
    <w:rsid w:val="753578F3"/>
    <w:rsid w:val="756A16D0"/>
    <w:rsid w:val="7590142E"/>
    <w:rsid w:val="75E038F4"/>
    <w:rsid w:val="760C7BA6"/>
    <w:rsid w:val="761C518B"/>
    <w:rsid w:val="76500BBD"/>
    <w:rsid w:val="76666B7B"/>
    <w:rsid w:val="76895BEA"/>
    <w:rsid w:val="768A40CF"/>
    <w:rsid w:val="76CE66B2"/>
    <w:rsid w:val="76F53C3E"/>
    <w:rsid w:val="77274B74"/>
    <w:rsid w:val="77277B70"/>
    <w:rsid w:val="7728012D"/>
    <w:rsid w:val="77502B4F"/>
    <w:rsid w:val="77996839"/>
    <w:rsid w:val="77A032AF"/>
    <w:rsid w:val="77A3216F"/>
    <w:rsid w:val="77EF2DEB"/>
    <w:rsid w:val="77F42148"/>
    <w:rsid w:val="782F4F2E"/>
    <w:rsid w:val="789A5C3A"/>
    <w:rsid w:val="78D87374"/>
    <w:rsid w:val="79940DE2"/>
    <w:rsid w:val="79A50A40"/>
    <w:rsid w:val="7A3D7DFA"/>
    <w:rsid w:val="7A3E76AA"/>
    <w:rsid w:val="7A680BCB"/>
    <w:rsid w:val="7AA254E9"/>
    <w:rsid w:val="7ADD5362"/>
    <w:rsid w:val="7B004296"/>
    <w:rsid w:val="7B160627"/>
    <w:rsid w:val="7B6B4F82"/>
    <w:rsid w:val="7B7071EA"/>
    <w:rsid w:val="7B98728E"/>
    <w:rsid w:val="7BC6204D"/>
    <w:rsid w:val="7C75137E"/>
    <w:rsid w:val="7CA31174"/>
    <w:rsid w:val="7CAF3152"/>
    <w:rsid w:val="7CC0123F"/>
    <w:rsid w:val="7CE107C1"/>
    <w:rsid w:val="7D0B583E"/>
    <w:rsid w:val="7D2D2D92"/>
    <w:rsid w:val="7D740686"/>
    <w:rsid w:val="7D796C4C"/>
    <w:rsid w:val="7DFB7398"/>
    <w:rsid w:val="7E291225"/>
    <w:rsid w:val="7E40312D"/>
    <w:rsid w:val="7E66132C"/>
    <w:rsid w:val="7E6F5381"/>
    <w:rsid w:val="7E782AF5"/>
    <w:rsid w:val="7EDB5991"/>
    <w:rsid w:val="7EF26C55"/>
    <w:rsid w:val="7F07682E"/>
    <w:rsid w:val="7F0D61D5"/>
    <w:rsid w:val="7F286B7B"/>
    <w:rsid w:val="7F2F3A66"/>
    <w:rsid w:val="7FF6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9"/>
    <w:pPr>
      <w:keepNext/>
      <w:keepLines/>
      <w:spacing w:before="340" w:after="330" w:line="576" w:lineRule="auto"/>
      <w:outlineLvl w:val="0"/>
    </w:pPr>
    <w:rPr>
      <w:b/>
      <w:kern w:val="44"/>
      <w:sz w:val="44"/>
      <w:szCs w:val="20"/>
    </w:rPr>
  </w:style>
  <w:style w:type="paragraph" w:styleId="8">
    <w:name w:val="heading 2"/>
    <w:basedOn w:val="1"/>
    <w:next w:val="1"/>
    <w:qFormat/>
    <w:uiPriority w:val="9"/>
    <w:pPr>
      <w:keepNext/>
      <w:keepLines/>
      <w:spacing w:before="260" w:after="260" w:line="412" w:lineRule="auto"/>
      <w:outlineLvl w:val="1"/>
    </w:pPr>
    <w:rPr>
      <w:rFonts w:ascii="Arial" w:hAnsi="Arial" w:eastAsia="黑体"/>
      <w:b/>
      <w:sz w:val="32"/>
      <w:szCs w:val="20"/>
    </w:rPr>
  </w:style>
  <w:style w:type="paragraph" w:styleId="9">
    <w:name w:val="heading 3"/>
    <w:basedOn w:val="1"/>
    <w:next w:val="1"/>
    <w:qFormat/>
    <w:uiPriority w:val="9"/>
    <w:pPr>
      <w:keepNext/>
      <w:keepLines/>
      <w:spacing w:before="260" w:after="260" w:line="412" w:lineRule="auto"/>
      <w:ind w:firstLine="49" w:firstLineChars="49"/>
      <w:outlineLvl w:val="2"/>
    </w:pPr>
    <w:rPr>
      <w:rFonts w:ascii="黑体" w:hAnsi="Calibri" w:eastAsia="黑体"/>
      <w:sz w:val="28"/>
      <w:szCs w:val="2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大标题"/>
    <w:basedOn w:val="1"/>
    <w:next w:val="4"/>
    <w:qFormat/>
    <w:uiPriority w:val="0"/>
    <w:pPr>
      <w:adjustRightInd w:val="0"/>
      <w:snapToGrid w:val="0"/>
      <w:spacing w:before="20" w:after="20"/>
      <w:jc w:val="center"/>
    </w:pPr>
    <w:rPr>
      <w:color w:val="000000"/>
      <w:spacing w:val="-8"/>
      <w:kern w:val="0"/>
      <w:sz w:val="44"/>
      <w:szCs w:val="32"/>
    </w:rPr>
  </w:style>
  <w:style w:type="paragraph" w:styleId="4">
    <w:name w:val="Body Text First Indent 2"/>
    <w:basedOn w:val="5"/>
    <w:next w:val="1"/>
    <w:qFormat/>
    <w:uiPriority w:val="0"/>
    <w:pPr>
      <w:ind w:firstLine="420" w:firstLineChars="200"/>
    </w:pPr>
    <w:rPr>
      <w:rFonts w:eastAsia="楷体_GB2312"/>
      <w:kern w:val="0"/>
      <w:sz w:val="28"/>
    </w:rPr>
  </w:style>
  <w:style w:type="paragraph" w:styleId="5">
    <w:name w:val="Body Text Indent"/>
    <w:basedOn w:val="1"/>
    <w:next w:val="6"/>
    <w:unhideWhenUsed/>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10">
    <w:name w:val="Body Text 3"/>
    <w:basedOn w:val="1"/>
    <w:qFormat/>
    <w:uiPriority w:val="0"/>
    <w:rPr>
      <w:rFonts w:ascii="宋体" w:hAnsi="Calibri"/>
      <w:sz w:val="24"/>
      <w:szCs w:val="20"/>
    </w:rPr>
  </w:style>
  <w:style w:type="paragraph" w:styleId="11">
    <w:name w:val="Body Text"/>
    <w:basedOn w:val="1"/>
    <w:next w:val="1"/>
    <w:unhideWhenUsed/>
    <w:qFormat/>
    <w:uiPriority w:val="99"/>
    <w:pPr>
      <w:spacing w:after="120"/>
    </w:pPr>
  </w:style>
  <w:style w:type="paragraph" w:styleId="12">
    <w:name w:val="toc 3"/>
    <w:basedOn w:val="1"/>
    <w:next w:val="1"/>
    <w:qFormat/>
    <w:uiPriority w:val="0"/>
    <w:pPr>
      <w:ind w:left="840" w:leftChars="400"/>
    </w:pPr>
  </w:style>
  <w:style w:type="paragraph" w:styleId="13">
    <w:name w:val="Plain Text"/>
    <w:basedOn w:val="1"/>
    <w:unhideWhenUsed/>
    <w:qFormat/>
    <w:uiPriority w:val="99"/>
    <w:rPr>
      <w:rFonts w:ascii="宋体" w:hAnsi="宋体" w:eastAsia="仿宋"/>
    </w:rPr>
  </w:style>
  <w:style w:type="paragraph" w:styleId="14">
    <w:name w:val="Balloon Text"/>
    <w:basedOn w:val="1"/>
    <w:link w:val="50"/>
    <w:uiPriority w:val="0"/>
    <w:rPr>
      <w:sz w:val="18"/>
      <w:szCs w:val="18"/>
    </w:rPr>
  </w:style>
  <w:style w:type="paragraph" w:styleId="15">
    <w:name w:val="footer"/>
    <w:basedOn w:val="1"/>
    <w:qFormat/>
    <w:uiPriority w:val="99"/>
    <w:pPr>
      <w:tabs>
        <w:tab w:val="center" w:pos="4153"/>
        <w:tab w:val="right" w:pos="8306"/>
      </w:tabs>
      <w:snapToGrid w:val="0"/>
      <w:jc w:val="left"/>
    </w:pPr>
    <w:rPr>
      <w:rFonts w:ascii="Calibri" w:hAnsi="Calibri"/>
      <w:sz w:val="22"/>
      <w:szCs w:val="20"/>
    </w:rPr>
  </w:style>
  <w:style w:type="paragraph" w:styleId="16">
    <w:name w:val="header"/>
    <w:basedOn w:val="1"/>
    <w:qFormat/>
    <w:uiPriority w:val="99"/>
    <w:pPr>
      <w:tabs>
        <w:tab w:val="center" w:pos="4153"/>
        <w:tab w:val="right" w:pos="8306"/>
      </w:tabs>
      <w:snapToGrid w:val="0"/>
    </w:pPr>
    <w:rPr>
      <w:sz w:val="18"/>
      <w:szCs w:val="20"/>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2"/>
    <w:basedOn w:val="1"/>
    <w:unhideWhenUsed/>
    <w:qFormat/>
    <w:uiPriority w:val="99"/>
    <w:pPr>
      <w:jc w:val="center"/>
      <w:outlineLvl w:val="0"/>
    </w:pPr>
    <w:rPr>
      <w:rFonts w:ascii="楷体_GB2312" w:eastAsia="仿宋_GB2312"/>
      <w:sz w:val="30"/>
      <w:szCs w:val="30"/>
    </w:rPr>
  </w:style>
  <w:style w:type="paragraph" w:styleId="20">
    <w:name w:val="Normal (Web)"/>
    <w:basedOn w:val="1"/>
    <w:next w:val="1"/>
    <w:qFormat/>
    <w:uiPriority w:val="0"/>
    <w:pPr>
      <w:spacing w:beforeAutospacing="1" w:afterAutospacing="1"/>
      <w:jc w:val="left"/>
    </w:pPr>
    <w:rPr>
      <w:rFonts w:cs="Times New Roman"/>
      <w:kern w:val="0"/>
      <w:sz w:val="24"/>
    </w:rPr>
  </w:style>
  <w:style w:type="paragraph" w:styleId="21">
    <w:name w:val="Body Text First Indent"/>
    <w:basedOn w:val="1"/>
    <w:next w:val="4"/>
    <w:unhideWhenUsed/>
    <w:qFormat/>
    <w:uiPriority w:val="99"/>
    <w:pPr>
      <w:ind w:firstLine="420" w:firstLineChars="100"/>
    </w:pPr>
    <w:rPr>
      <w:rFonts w:ascii="Calibri" w:hAnsi="Calibri"/>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qFormat/>
    <w:uiPriority w:val="0"/>
    <w:rPr>
      <w:color w:val="333333"/>
      <w:u w:val="none"/>
    </w:rPr>
  </w:style>
  <w:style w:type="character" w:styleId="27">
    <w:name w:val="Emphasis"/>
    <w:basedOn w:val="24"/>
    <w:qFormat/>
    <w:uiPriority w:val="0"/>
  </w:style>
  <w:style w:type="character" w:styleId="28">
    <w:name w:val="HTML Definition"/>
    <w:basedOn w:val="24"/>
    <w:uiPriority w:val="0"/>
    <w:rPr>
      <w:i/>
      <w:iCs/>
    </w:rPr>
  </w:style>
  <w:style w:type="character" w:styleId="29">
    <w:name w:val="Hyperlink"/>
    <w:qFormat/>
    <w:uiPriority w:val="99"/>
    <w:rPr>
      <w:color w:val="333333"/>
      <w:szCs w:val="20"/>
      <w:u w:val="none"/>
    </w:rPr>
  </w:style>
  <w:style w:type="character" w:styleId="30">
    <w:name w:val="HTML Code"/>
    <w:basedOn w:val="24"/>
    <w:uiPriority w:val="0"/>
    <w:rPr>
      <w:rFonts w:ascii="Consolas" w:hAnsi="Consolas" w:eastAsia="Consolas" w:cs="Consolas"/>
      <w:color w:val="C7254E"/>
      <w:sz w:val="21"/>
      <w:szCs w:val="21"/>
      <w:shd w:val="clear" w:fill="F9F2F4"/>
    </w:rPr>
  </w:style>
  <w:style w:type="character" w:styleId="31">
    <w:name w:val="HTML Keyboard"/>
    <w:basedOn w:val="24"/>
    <w:uiPriority w:val="0"/>
    <w:rPr>
      <w:rFonts w:hint="default" w:ascii="Consolas" w:hAnsi="Consolas" w:eastAsia="Consolas" w:cs="Consolas"/>
      <w:color w:val="FFFFFF"/>
      <w:sz w:val="21"/>
      <w:szCs w:val="21"/>
      <w:shd w:val="clear" w:fill="333333"/>
    </w:rPr>
  </w:style>
  <w:style w:type="character" w:styleId="32">
    <w:name w:val="HTML Sample"/>
    <w:basedOn w:val="24"/>
    <w:uiPriority w:val="0"/>
    <w:rPr>
      <w:rFonts w:hint="default" w:ascii="Consolas" w:hAnsi="Consolas" w:eastAsia="Consolas" w:cs="Consolas"/>
      <w:sz w:val="21"/>
      <w:szCs w:val="21"/>
    </w:rPr>
  </w:style>
  <w:style w:type="paragraph" w:customStyle="1" w:styleId="33">
    <w:name w:val="Body Text First Indent1"/>
    <w:basedOn w:val="11"/>
    <w:qFormat/>
    <w:uiPriority w:val="99"/>
    <w:pPr>
      <w:ind w:firstLine="420"/>
    </w:pPr>
    <w:rPr>
      <w:rFonts w:ascii="Times New Roman" w:hAnsi="Times New Roman"/>
      <w:sz w:val="32"/>
    </w:rPr>
  </w:style>
  <w:style w:type="paragraph" w:customStyle="1" w:styleId="34">
    <w:name w:val="UserStyle_0"/>
    <w:qFormat/>
    <w:uiPriority w:val="0"/>
    <w:pPr>
      <w:textAlignment w:val="baseline"/>
    </w:pPr>
    <w:rPr>
      <w:rFonts w:ascii="Copperplate Gothic Bold" w:hAnsi="Times New Roman" w:eastAsia="Copperplate Gothic Bold" w:cs="Times New Roman"/>
      <w:color w:val="000000"/>
      <w:sz w:val="24"/>
      <w:lang w:val="en-US" w:eastAsia="zh-CN" w:bidi="ar-SA"/>
    </w:rPr>
  </w:style>
  <w:style w:type="paragraph" w:customStyle="1" w:styleId="35">
    <w:name w:val="标题3-1"/>
    <w:basedOn w:val="9"/>
    <w:qFormat/>
    <w:uiPriority w:val="0"/>
    <w:pPr>
      <w:tabs>
        <w:tab w:val="left" w:pos="425"/>
      </w:tabs>
      <w:spacing w:line="416" w:lineRule="auto"/>
      <w:ind w:left="425" w:hanging="425" w:firstLineChars="0"/>
    </w:pPr>
    <w:rPr>
      <w:rFonts w:ascii="Times New Roman" w:hAnsi="Times New Roman" w:eastAsia="宋体"/>
      <w:b/>
      <w:bCs/>
      <w:sz w:val="24"/>
      <w:szCs w:val="32"/>
    </w:rPr>
  </w:style>
  <w:style w:type="character" w:customStyle="1" w:styleId="36">
    <w:name w:val="p141"/>
    <w:qFormat/>
    <w:uiPriority w:val="0"/>
    <w:rPr>
      <w:sz w:val="21"/>
      <w:szCs w:val="21"/>
    </w:rPr>
  </w:style>
  <w:style w:type="character" w:customStyle="1" w:styleId="37">
    <w:name w:val="blue"/>
    <w:basedOn w:val="24"/>
    <w:qFormat/>
    <w:uiPriority w:val="0"/>
    <w:rPr>
      <w:color w:val="0371C6"/>
      <w:sz w:val="21"/>
      <w:szCs w:val="21"/>
    </w:rPr>
  </w:style>
  <w:style w:type="character" w:customStyle="1" w:styleId="38">
    <w:name w:val="hover24"/>
    <w:basedOn w:val="24"/>
    <w:qFormat/>
    <w:uiPriority w:val="0"/>
  </w:style>
  <w:style w:type="character" w:customStyle="1" w:styleId="39">
    <w:name w:val="fl2"/>
    <w:basedOn w:val="24"/>
    <w:qFormat/>
    <w:uiPriority w:val="0"/>
    <w:rPr>
      <w:color w:val="666666"/>
    </w:rPr>
  </w:style>
  <w:style w:type="character" w:customStyle="1" w:styleId="40">
    <w:name w:val="right"/>
    <w:basedOn w:val="24"/>
    <w:qFormat/>
    <w:uiPriority w:val="0"/>
    <w:rPr>
      <w:color w:val="999999"/>
      <w:sz w:val="18"/>
      <w:szCs w:val="18"/>
    </w:rPr>
  </w:style>
  <w:style w:type="character" w:customStyle="1" w:styleId="41">
    <w:name w:val="right1"/>
    <w:basedOn w:val="24"/>
    <w:qFormat/>
    <w:uiPriority w:val="0"/>
    <w:rPr>
      <w:color w:val="999999"/>
    </w:rPr>
  </w:style>
  <w:style w:type="character" w:customStyle="1" w:styleId="42">
    <w:name w:val="green"/>
    <w:basedOn w:val="24"/>
    <w:qFormat/>
    <w:uiPriority w:val="0"/>
    <w:rPr>
      <w:color w:val="58B200"/>
      <w:sz w:val="21"/>
      <w:szCs w:val="21"/>
    </w:rPr>
  </w:style>
  <w:style w:type="character" w:customStyle="1" w:styleId="43">
    <w:name w:val="red2"/>
    <w:basedOn w:val="24"/>
    <w:qFormat/>
    <w:uiPriority w:val="0"/>
    <w:rPr>
      <w:color w:val="FF0000"/>
      <w:sz w:val="21"/>
      <w:szCs w:val="21"/>
    </w:rPr>
  </w:style>
  <w:style w:type="character" w:customStyle="1" w:styleId="44">
    <w:name w:val="red3"/>
    <w:basedOn w:val="24"/>
    <w:qFormat/>
    <w:uiPriority w:val="0"/>
    <w:rPr>
      <w:color w:val="FF0000"/>
      <w:sz w:val="24"/>
      <w:szCs w:val="24"/>
    </w:rPr>
  </w:style>
  <w:style w:type="character" w:customStyle="1" w:styleId="45">
    <w:name w:val="gb-jt"/>
    <w:basedOn w:val="24"/>
    <w:qFormat/>
    <w:uiPriority w:val="0"/>
  </w:style>
  <w:style w:type="character" w:customStyle="1" w:styleId="46">
    <w:name w:val="active3"/>
    <w:basedOn w:val="24"/>
    <w:qFormat/>
    <w:uiPriority w:val="0"/>
    <w:rPr>
      <w:color w:val="FFFFFF"/>
      <w:shd w:val="clear" w:color="auto" w:fill="2B7AFC"/>
    </w:rPr>
  </w:style>
  <w:style w:type="character" w:customStyle="1" w:styleId="47">
    <w:name w:val="fr4"/>
    <w:basedOn w:val="24"/>
    <w:qFormat/>
    <w:uiPriority w:val="0"/>
  </w:style>
  <w:style w:type="character" w:customStyle="1" w:styleId="48">
    <w:name w:val="red"/>
    <w:basedOn w:val="24"/>
    <w:qFormat/>
    <w:uiPriority w:val="0"/>
    <w:rPr>
      <w:color w:val="FF0000"/>
      <w:sz w:val="21"/>
      <w:szCs w:val="21"/>
    </w:rPr>
  </w:style>
  <w:style w:type="character" w:customStyle="1" w:styleId="49">
    <w:name w:val="red1"/>
    <w:basedOn w:val="24"/>
    <w:qFormat/>
    <w:uiPriority w:val="0"/>
    <w:rPr>
      <w:color w:val="FF0000"/>
      <w:sz w:val="24"/>
      <w:szCs w:val="24"/>
    </w:rPr>
  </w:style>
  <w:style w:type="character" w:customStyle="1" w:styleId="50">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51">
    <w:name w:val="无间隔1"/>
    <w:basedOn w:val="1"/>
    <w:next w:val="52"/>
    <w:qFormat/>
    <w:uiPriority w:val="1"/>
    <w:pPr>
      <w:spacing w:line="400" w:lineRule="exact"/>
    </w:pPr>
    <w:rPr>
      <w:sz w:val="24"/>
    </w:rPr>
  </w:style>
  <w:style w:type="paragraph" w:customStyle="1" w:styleId="52">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53">
    <w:name w:val="active1"/>
    <w:basedOn w:val="24"/>
    <w:qFormat/>
    <w:uiPriority w:val="0"/>
    <w:rPr>
      <w:color w:val="FFFFFF"/>
      <w:shd w:val="clear" w:fill="2B7AFC"/>
    </w:rPr>
  </w:style>
  <w:style w:type="character" w:customStyle="1" w:styleId="54">
    <w:name w:val="xiadan"/>
    <w:basedOn w:val="24"/>
    <w:uiPriority w:val="0"/>
    <w:rPr>
      <w:shd w:val="clear" w:fill="E4393C"/>
    </w:rPr>
  </w:style>
  <w:style w:type="character" w:customStyle="1" w:styleId="55">
    <w:name w:val="icon_ds"/>
    <w:basedOn w:val="24"/>
    <w:uiPriority w:val="0"/>
  </w:style>
  <w:style w:type="character" w:customStyle="1" w:styleId="56">
    <w:name w:val="icon_ds1"/>
    <w:basedOn w:val="24"/>
    <w:uiPriority w:val="0"/>
    <w:rPr>
      <w:sz w:val="16"/>
      <w:szCs w:val="16"/>
    </w:rPr>
  </w:style>
  <w:style w:type="character" w:customStyle="1" w:styleId="57">
    <w:name w:val="color-blue"/>
    <w:basedOn w:val="24"/>
    <w:uiPriority w:val="0"/>
    <w:rPr>
      <w:color w:val="3F88CA"/>
      <w:sz w:val="14"/>
      <w:szCs w:val="14"/>
      <w:bdr w:val="single" w:color="3F88CA" w:sz="4" w:space="0"/>
    </w:rPr>
  </w:style>
  <w:style w:type="character" w:customStyle="1" w:styleId="58">
    <w:name w:val="first-child"/>
    <w:basedOn w:val="24"/>
    <w:uiPriority w:val="0"/>
  </w:style>
  <w:style w:type="character" w:customStyle="1" w:styleId="59">
    <w:name w:val="first-child1"/>
    <w:basedOn w:val="24"/>
    <w:uiPriority w:val="0"/>
    <w:rPr>
      <w:color w:val="1F3149"/>
      <w:sz w:val="19"/>
      <w:szCs w:val="19"/>
    </w:rPr>
  </w:style>
  <w:style w:type="character" w:customStyle="1" w:styleId="60">
    <w:name w:val="first-child2"/>
    <w:basedOn w:val="24"/>
    <w:uiPriority w:val="0"/>
    <w:rPr>
      <w:color w:val="1F3149"/>
      <w:sz w:val="19"/>
      <w:szCs w:val="19"/>
    </w:rPr>
  </w:style>
  <w:style w:type="character" w:customStyle="1" w:styleId="61">
    <w:name w:val="first-child3"/>
    <w:basedOn w:val="24"/>
    <w:uiPriority w:val="0"/>
  </w:style>
  <w:style w:type="character" w:customStyle="1" w:styleId="62">
    <w:name w:val="color-yellow"/>
    <w:basedOn w:val="24"/>
    <w:uiPriority w:val="0"/>
    <w:rPr>
      <w:color w:val="FAAD14"/>
      <w:sz w:val="14"/>
      <w:szCs w:val="14"/>
      <w:bdr w:val="single" w:color="FAAD14" w:sz="4" w:space="0"/>
    </w:rPr>
  </w:style>
  <w:style w:type="character" w:customStyle="1" w:styleId="63">
    <w:name w:val="color-yellow1"/>
    <w:basedOn w:val="24"/>
    <w:uiPriority w:val="0"/>
    <w:rPr>
      <w:color w:val="1F3149"/>
      <w:sz w:val="16"/>
      <w:szCs w:val="16"/>
      <w:bdr w:val="single" w:color="FAAD14" w:sz="4" w:space="0"/>
    </w:rPr>
  </w:style>
  <w:style w:type="character" w:customStyle="1" w:styleId="64">
    <w:name w:val="fr"/>
    <w:basedOn w:val="24"/>
    <w:uiPriority w:val="0"/>
  </w:style>
  <w:style w:type="character" w:customStyle="1" w:styleId="65">
    <w:name w:val="icon_gys"/>
    <w:basedOn w:val="24"/>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19454</Words>
  <Characters>21303</Characters>
  <Lines>173</Lines>
  <Paragraphs>48</Paragraphs>
  <TotalTime>53</TotalTime>
  <ScaleCrop>false</ScaleCrop>
  <LinksUpToDate>false</LinksUpToDate>
  <CharactersWithSpaces>23593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2022-05-09T02:40:00Z</dcterms:created>
  <dc:creator>河南九强工程管理有限公司:杜瑛</dc:creator>
  <cp:lastModifiedBy>⭐️品•味⭐️</cp:lastModifiedBy>
  <cp:lastPrinted>2023-07-19T05:18:00Z</cp:lastPrinted>
  <dcterms:modified xsi:type="dcterms:W3CDTF">2023-07-20T06:37:34Z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4E635817416643C1B908541AB36BE8B3</vt:lpwstr>
  </property>
</Properties>
</file>