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仿宋" w:hAnsi="华文仿宋" w:eastAsia="华文仿宋" w:cs="宋体"/>
          <w:b/>
          <w:bCs/>
          <w:color w:val="000000"/>
          <w:sz w:val="36"/>
          <w:szCs w:val="36"/>
        </w:rPr>
      </w:pPr>
      <w:bookmarkStart w:id="373" w:name="_GoBack"/>
      <w:bookmarkEnd w:id="373"/>
    </w:p>
    <w:p>
      <w:pPr>
        <w:jc w:val="center"/>
        <w:rPr>
          <w:rFonts w:ascii="华文仿宋" w:hAnsi="华文仿宋" w:eastAsia="华文仿宋" w:cs="宋体"/>
          <w:b/>
          <w:bCs/>
          <w:color w:val="000000"/>
          <w:sz w:val="36"/>
          <w:szCs w:val="36"/>
        </w:rPr>
      </w:pPr>
      <w:r>
        <w:rPr>
          <w:rFonts w:hint="eastAsia" w:ascii="华文仿宋" w:hAnsi="华文仿宋" w:eastAsia="华文仿宋" w:cs="宋体"/>
          <w:b/>
          <w:bCs/>
          <w:color w:val="000000"/>
          <w:sz w:val="36"/>
          <w:szCs w:val="36"/>
        </w:rPr>
        <w:t>通许县交通运输局执法所非现场执法系统</w:t>
      </w:r>
      <w:r>
        <w:rPr>
          <w:rFonts w:hint="eastAsia" w:ascii="华文仿宋" w:hAnsi="华文仿宋" w:eastAsia="华文仿宋" w:cs="宋体"/>
          <w:b/>
          <w:bCs/>
          <w:color w:val="000000" w:themeColor="text1"/>
          <w:sz w:val="36"/>
          <w:szCs w:val="36"/>
        </w:rPr>
        <w:t>采购</w:t>
      </w:r>
      <w:r>
        <w:rPr>
          <w:rFonts w:hint="eastAsia" w:ascii="华文仿宋" w:hAnsi="华文仿宋" w:eastAsia="华文仿宋" w:cs="宋体"/>
          <w:b/>
          <w:bCs/>
          <w:color w:val="000000"/>
          <w:sz w:val="36"/>
          <w:szCs w:val="36"/>
        </w:rPr>
        <w:t>项目</w:t>
      </w: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
      <w:pPr>
        <w:ind w:firstLine="1687"/>
        <w:jc w:val="center"/>
        <w:rPr>
          <w:rFonts w:ascii="华文仿宋" w:hAnsi="华文仿宋" w:eastAsia="华文仿宋"/>
        </w:rPr>
      </w:pPr>
      <w:r>
        <w:rPr>
          <w:rFonts w:hint="eastAsia" w:ascii="华文仿宋" w:hAnsi="华文仿宋" w:eastAsia="华文仿宋"/>
          <w:b/>
          <w:color w:val="000000"/>
          <w:sz w:val="84"/>
          <w:szCs w:val="20"/>
        </w:rPr>
        <w:t>招标文件</w:t>
      </w:r>
    </w:p>
    <w:p>
      <w:pPr>
        <w:ind w:firstLine="420"/>
        <w:rPr>
          <w:rFonts w:ascii="华文仿宋" w:hAnsi="华文仿宋" w:eastAsia="华文仿宋"/>
        </w:rPr>
      </w:pPr>
    </w:p>
    <w:p>
      <w:pPr>
        <w:ind w:firstLine="420"/>
        <w:rPr>
          <w:rFonts w:ascii="华文仿宋" w:hAnsi="华文仿宋" w:eastAsia="华文仿宋"/>
        </w:rPr>
      </w:pPr>
    </w:p>
    <w:p>
      <w:pPr>
        <w:ind w:firstLine="561"/>
        <w:jc w:val="center"/>
        <w:rPr>
          <w:rFonts w:ascii="华文仿宋" w:hAnsi="华文仿宋" w:eastAsia="华文仿宋"/>
          <w:b/>
          <w:color w:val="000000"/>
          <w:sz w:val="28"/>
          <w:szCs w:val="20"/>
        </w:rPr>
      </w:pPr>
      <w:r>
        <w:rPr>
          <w:rFonts w:hint="eastAsia" w:ascii="华文仿宋" w:hAnsi="华文仿宋" w:eastAsia="华文仿宋"/>
          <w:b/>
          <w:color w:val="000000"/>
          <w:sz w:val="28"/>
          <w:szCs w:val="20"/>
        </w:rPr>
        <w:t>招标编号：豫通财货物公开招标（</w:t>
      </w:r>
      <w:r>
        <w:rPr>
          <w:rFonts w:hint="eastAsia" w:ascii="华文仿宋" w:hAnsi="华文仿宋" w:eastAsia="华文仿宋"/>
          <w:b/>
          <w:color w:val="000000"/>
          <w:sz w:val="28"/>
          <w:szCs w:val="20"/>
          <w:lang w:val="en-US" w:eastAsia="zh-CN"/>
        </w:rPr>
        <w:t>2018</w:t>
      </w:r>
      <w:r>
        <w:rPr>
          <w:rFonts w:hint="eastAsia" w:ascii="华文仿宋" w:hAnsi="华文仿宋" w:eastAsia="华文仿宋"/>
          <w:b/>
          <w:color w:val="000000"/>
          <w:sz w:val="28"/>
          <w:szCs w:val="20"/>
        </w:rPr>
        <w:t>）</w:t>
      </w:r>
      <w:r>
        <w:rPr>
          <w:rFonts w:hint="eastAsia" w:ascii="华文仿宋" w:hAnsi="华文仿宋" w:eastAsia="华文仿宋"/>
          <w:b/>
          <w:color w:val="000000"/>
          <w:sz w:val="28"/>
          <w:szCs w:val="20"/>
          <w:lang w:val="en-US" w:eastAsia="zh-CN"/>
        </w:rPr>
        <w:t>039</w:t>
      </w:r>
      <w:r>
        <w:rPr>
          <w:rFonts w:hint="eastAsia" w:ascii="华文仿宋" w:hAnsi="华文仿宋" w:eastAsia="华文仿宋"/>
          <w:b/>
          <w:color w:val="000000"/>
          <w:sz w:val="28"/>
          <w:szCs w:val="20"/>
        </w:rPr>
        <w:t>号</w:t>
      </w: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Pr>
        <w:ind w:firstLine="420"/>
        <w:rPr>
          <w:rFonts w:ascii="华文仿宋" w:hAnsi="华文仿宋" w:eastAsia="华文仿宋"/>
        </w:rPr>
      </w:pPr>
    </w:p>
    <w:p/>
    <w:p/>
    <w:p/>
    <w:p/>
    <w:p/>
    <w:p/>
    <w:p>
      <w:pPr>
        <w:ind w:firstLine="420"/>
        <w:rPr>
          <w:rFonts w:ascii="华文仿宋" w:hAnsi="华文仿宋" w:eastAsia="华文仿宋"/>
        </w:rPr>
      </w:pPr>
    </w:p>
    <w:p>
      <w:pPr>
        <w:ind w:firstLine="420"/>
        <w:rPr>
          <w:rFonts w:ascii="华文仿宋" w:hAnsi="华文仿宋" w:eastAsia="华文仿宋"/>
        </w:rPr>
      </w:pPr>
    </w:p>
    <w:p>
      <w:pPr>
        <w:spacing w:line="360" w:lineRule="auto"/>
        <w:ind w:left="61" w:leftChars="29" w:firstLine="854"/>
        <w:jc w:val="center"/>
        <w:rPr>
          <w:rFonts w:ascii="华文仿宋" w:hAnsi="华文仿宋" w:eastAsia="华文仿宋"/>
          <w:b/>
          <w:color w:val="000000"/>
          <w:spacing w:val="53"/>
          <w:sz w:val="32"/>
          <w:szCs w:val="20"/>
        </w:rPr>
      </w:pPr>
      <w:r>
        <w:rPr>
          <w:rFonts w:hint="eastAsia" w:ascii="华文仿宋" w:hAnsi="华文仿宋" w:eastAsia="华文仿宋"/>
        </w:rPr>
        <w:t xml:space="preserve">  </w:t>
      </w:r>
      <w:r>
        <w:rPr>
          <w:rFonts w:hint="eastAsia" w:ascii="华文仿宋" w:hAnsi="华文仿宋" w:eastAsia="华文仿宋"/>
          <w:b/>
          <w:color w:val="000000"/>
          <w:spacing w:val="53"/>
          <w:sz w:val="32"/>
          <w:szCs w:val="20"/>
        </w:rPr>
        <w:t>采购人：通许县交通运输局执法所</w:t>
      </w:r>
    </w:p>
    <w:p>
      <w:pPr>
        <w:spacing w:line="360" w:lineRule="auto"/>
        <w:ind w:left="61" w:leftChars="29" w:firstLine="854"/>
        <w:jc w:val="center"/>
        <w:rPr>
          <w:rFonts w:ascii="华文仿宋" w:hAnsi="华文仿宋" w:eastAsia="华文仿宋"/>
          <w:b/>
          <w:color w:val="000000"/>
          <w:spacing w:val="53"/>
          <w:sz w:val="32"/>
          <w:szCs w:val="20"/>
        </w:rPr>
      </w:pPr>
      <w:r>
        <w:rPr>
          <w:rFonts w:hint="eastAsia" w:ascii="华文仿宋" w:hAnsi="华文仿宋" w:eastAsia="华文仿宋"/>
          <w:b/>
          <w:color w:val="000000"/>
          <w:spacing w:val="53"/>
          <w:sz w:val="32"/>
          <w:szCs w:val="20"/>
        </w:rPr>
        <w:t>代理机构：河南清鸿建设咨询有限公司</w:t>
      </w:r>
    </w:p>
    <w:p>
      <w:pPr>
        <w:spacing w:line="360" w:lineRule="auto"/>
        <w:ind w:left="61" w:leftChars="29" w:firstLine="854"/>
        <w:jc w:val="center"/>
        <w:rPr>
          <w:rFonts w:ascii="华文仿宋" w:hAnsi="华文仿宋" w:eastAsia="华文仿宋"/>
          <w:b/>
          <w:color w:val="000000"/>
          <w:spacing w:val="53"/>
          <w:sz w:val="32"/>
          <w:szCs w:val="20"/>
        </w:rPr>
      </w:pPr>
      <w:r>
        <w:rPr>
          <w:rFonts w:hint="eastAsia" w:ascii="华文仿宋" w:hAnsi="华文仿宋" w:eastAsia="华文仿宋"/>
          <w:b/>
          <w:color w:val="000000"/>
          <w:spacing w:val="53"/>
          <w:sz w:val="32"/>
          <w:szCs w:val="20"/>
        </w:rPr>
        <w:t>二○一九年三月</w:t>
      </w:r>
    </w:p>
    <w:p>
      <w:pPr>
        <w:ind w:firstLine="420"/>
        <w:rPr>
          <w:rFonts w:ascii="华文仿宋" w:hAnsi="华文仿宋" w:eastAsia="华文仿宋"/>
        </w:rPr>
      </w:pPr>
      <w:r>
        <w:rPr>
          <w:rFonts w:ascii="华文仿宋" w:hAnsi="华文仿宋" w:eastAsia="华文仿宋"/>
        </w:rPr>
        <w:t xml:space="preserve"> </w:t>
      </w:r>
    </w:p>
    <w:p>
      <w:pPr>
        <w:snapToGrid w:val="0"/>
        <w:ind w:firstLine="393" w:firstLineChars="393"/>
        <w:rPr>
          <w:rFonts w:ascii="宋体"/>
          <w:color w:val="000000" w:themeColor="text1"/>
          <w:sz w:val="10"/>
          <w:szCs w:val="10"/>
        </w:rPr>
      </w:pPr>
    </w:p>
    <w:p>
      <w:pPr>
        <w:snapToGrid w:val="0"/>
        <w:ind w:firstLine="393" w:firstLineChars="393"/>
        <w:rPr>
          <w:rFonts w:ascii="宋体"/>
          <w:color w:val="000000" w:themeColor="text1"/>
          <w:sz w:val="10"/>
          <w:szCs w:val="10"/>
        </w:rPr>
      </w:pPr>
    </w:p>
    <w:p>
      <w:pPr>
        <w:tabs>
          <w:tab w:val="left" w:pos="6150"/>
        </w:tabs>
        <w:snapToGrid w:val="0"/>
        <w:ind w:firstLine="393" w:firstLineChars="393"/>
        <w:rPr>
          <w:rFonts w:ascii="宋体"/>
          <w:color w:val="000000" w:themeColor="text1"/>
          <w:sz w:val="10"/>
          <w:szCs w:val="10"/>
        </w:rPr>
      </w:pPr>
      <w:r>
        <w:rPr>
          <w:rFonts w:ascii="宋体"/>
          <w:color w:val="000000" w:themeColor="text1"/>
          <w:sz w:val="10"/>
          <w:szCs w:val="10"/>
        </w:rPr>
        <w:tab/>
      </w:r>
    </w:p>
    <w:p>
      <w:pPr>
        <w:widowControl/>
        <w:jc w:val="left"/>
        <w:rPr>
          <w:rFonts w:ascii="宋体" w:hAnsi="宋体"/>
          <w:b/>
          <w:bCs/>
          <w:color w:val="000000" w:themeColor="text1"/>
          <w:sz w:val="56"/>
          <w:szCs w:val="96"/>
        </w:rPr>
      </w:pPr>
      <w:bookmarkStart w:id="0" w:name="_Toc247085687"/>
      <w:bookmarkStart w:id="1" w:name="_Toc296602418"/>
      <w:bookmarkStart w:id="2" w:name="_Toc152045527"/>
      <w:bookmarkStart w:id="3" w:name="_Toc179632544"/>
      <w:bookmarkStart w:id="4" w:name="_Toc152042303"/>
      <w:bookmarkStart w:id="5" w:name="_Toc246996173"/>
      <w:bookmarkStart w:id="6" w:name="_Toc246996916"/>
      <w:bookmarkStart w:id="7" w:name="_Toc144974495"/>
      <w:r>
        <w:rPr>
          <w:rFonts w:ascii="宋体" w:hAnsi="宋体"/>
          <w:b/>
          <w:bCs/>
          <w:color w:val="000000" w:themeColor="text1"/>
          <w:sz w:val="56"/>
          <w:szCs w:val="96"/>
        </w:rPr>
        <w:br w:type="page"/>
      </w:r>
    </w:p>
    <w:p>
      <w:pPr>
        <w:jc w:val="center"/>
        <w:rPr>
          <w:rFonts w:ascii="宋体"/>
          <w:b/>
          <w:bCs/>
          <w:color w:val="000000" w:themeColor="text1"/>
          <w:sz w:val="56"/>
          <w:szCs w:val="96"/>
        </w:rPr>
      </w:pPr>
      <w:r>
        <w:rPr>
          <w:rFonts w:hint="eastAsia" w:ascii="宋体" w:hAnsi="宋体"/>
          <w:b/>
          <w:bCs/>
          <w:color w:val="000000" w:themeColor="text1"/>
          <w:sz w:val="56"/>
          <w:szCs w:val="96"/>
        </w:rPr>
        <w:t>目录</w:t>
      </w:r>
    </w:p>
    <w:p>
      <w:pPr>
        <w:pStyle w:val="8"/>
        <w:tabs>
          <w:tab w:val="right" w:leader="dot" w:pos="9062"/>
        </w:tabs>
        <w:spacing w:line="480" w:lineRule="auto"/>
        <w:rPr>
          <w:rFonts w:ascii="宋体"/>
          <w:b w:val="0"/>
          <w:bCs w:val="0"/>
          <w:caps w:val="0"/>
          <w:color w:val="000000" w:themeColor="text1"/>
          <w:sz w:val="24"/>
          <w:szCs w:val="24"/>
        </w:rPr>
      </w:pPr>
      <w:r>
        <w:rPr>
          <w:color w:val="000000" w:themeColor="text1"/>
        </w:rPr>
        <w:fldChar w:fldCharType="begin"/>
      </w:r>
      <w:r>
        <w:rPr>
          <w:color w:val="000000" w:themeColor="text1"/>
        </w:rPr>
        <w:instrText xml:space="preserve"> TOC \o "1-2" \h \z \u </w:instrText>
      </w:r>
      <w:r>
        <w:rPr>
          <w:color w:val="000000" w:themeColor="text1"/>
        </w:rPr>
        <w:fldChar w:fldCharType="separate"/>
      </w:r>
      <w:r>
        <w:fldChar w:fldCharType="begin"/>
      </w:r>
      <w:r>
        <w:instrText xml:space="preserve"> HYPERLINK \l "_Toc509393047" </w:instrText>
      </w:r>
      <w:r>
        <w:fldChar w:fldCharType="separate"/>
      </w:r>
      <w:r>
        <w:rPr>
          <w:rStyle w:val="13"/>
          <w:rFonts w:hint="eastAsia" w:ascii="宋体" w:hAnsi="宋体"/>
          <w:color w:val="000000" w:themeColor="text1"/>
          <w:sz w:val="24"/>
          <w:szCs w:val="24"/>
        </w:rPr>
        <w:t>第一章、招标公告</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_Toc509393047 \h </w:instrText>
      </w:r>
      <w:r>
        <w:rPr>
          <w:rFonts w:ascii="宋体" w:hAnsi="宋体"/>
          <w:color w:val="000000" w:themeColor="text1"/>
          <w:sz w:val="24"/>
          <w:szCs w:val="24"/>
        </w:rPr>
        <w:fldChar w:fldCharType="separate"/>
      </w:r>
      <w:r>
        <w:rPr>
          <w:rFonts w:ascii="宋体" w:hAnsi="宋体"/>
          <w:color w:val="000000" w:themeColor="text1"/>
          <w:sz w:val="24"/>
          <w:szCs w:val="24"/>
        </w:rPr>
        <w:t>- 3 -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8"/>
        <w:tabs>
          <w:tab w:val="right" w:leader="dot" w:pos="9062"/>
        </w:tabs>
        <w:spacing w:line="480" w:lineRule="auto"/>
        <w:rPr>
          <w:rFonts w:ascii="宋体"/>
          <w:b w:val="0"/>
          <w:bCs w:val="0"/>
          <w:caps w:val="0"/>
          <w:color w:val="000000" w:themeColor="text1"/>
          <w:sz w:val="24"/>
          <w:szCs w:val="24"/>
        </w:rPr>
      </w:pPr>
      <w:r>
        <w:fldChar w:fldCharType="begin"/>
      </w:r>
      <w:r>
        <w:instrText xml:space="preserve"> HYPERLINK \l "_Toc509393048" </w:instrText>
      </w:r>
      <w:r>
        <w:fldChar w:fldCharType="separate"/>
      </w:r>
      <w:r>
        <w:rPr>
          <w:rStyle w:val="13"/>
          <w:rFonts w:hint="eastAsia" w:ascii="宋体" w:hAnsi="宋体"/>
          <w:color w:val="000000" w:themeColor="text1"/>
          <w:sz w:val="24"/>
          <w:szCs w:val="24"/>
        </w:rPr>
        <w:t>第二章投标人须知</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_Toc509393048 \h </w:instrText>
      </w:r>
      <w:r>
        <w:rPr>
          <w:rFonts w:ascii="宋体" w:hAnsi="宋体"/>
          <w:color w:val="000000" w:themeColor="text1"/>
          <w:sz w:val="24"/>
          <w:szCs w:val="24"/>
        </w:rPr>
        <w:fldChar w:fldCharType="separate"/>
      </w:r>
      <w:r>
        <w:rPr>
          <w:rFonts w:ascii="宋体" w:hAnsi="宋体"/>
          <w:color w:val="000000" w:themeColor="text1"/>
          <w:sz w:val="24"/>
          <w:szCs w:val="24"/>
        </w:rPr>
        <w:t>- 6 -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"_Toc509393049" </w:instrText>
      </w:r>
      <w:r>
        <w:fldChar w:fldCharType="separate"/>
      </w:r>
      <w:r>
        <w:rPr>
          <w:rStyle w:val="13"/>
          <w:rFonts w:ascii="宋体" w:hAnsi="宋体"/>
          <w:color w:val="000000" w:themeColor="text1"/>
          <w:kern w:val="0"/>
          <w:sz w:val="24"/>
          <w:szCs w:val="24"/>
        </w:rPr>
        <w:t>1</w:t>
      </w:r>
      <w:r>
        <w:rPr>
          <w:rStyle w:val="13"/>
          <w:rFonts w:hint="eastAsia" w:ascii="宋体" w:hAnsi="宋体"/>
          <w:color w:val="000000" w:themeColor="text1"/>
          <w:kern w:val="0"/>
          <w:sz w:val="24"/>
          <w:szCs w:val="24"/>
        </w:rPr>
        <w:t>、投标人须知前附表</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_Toc509393049 \h </w:instrText>
      </w:r>
      <w:r>
        <w:rPr>
          <w:rFonts w:ascii="宋体" w:hAnsi="宋体"/>
          <w:color w:val="000000" w:themeColor="text1"/>
          <w:sz w:val="24"/>
          <w:szCs w:val="24"/>
        </w:rPr>
        <w:fldChar w:fldCharType="separate"/>
      </w:r>
      <w:r>
        <w:rPr>
          <w:rFonts w:ascii="宋体" w:hAnsi="宋体"/>
          <w:color w:val="000000" w:themeColor="text1"/>
          <w:sz w:val="24"/>
          <w:szCs w:val="24"/>
        </w:rPr>
        <w:t>- 6 -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"_Toc509393050" </w:instrText>
      </w:r>
      <w:r>
        <w:fldChar w:fldCharType="separate"/>
      </w:r>
      <w:r>
        <w:rPr>
          <w:rStyle w:val="13"/>
          <w:rFonts w:ascii="宋体" w:hAnsi="宋体"/>
          <w:color w:val="000000" w:themeColor="text1"/>
          <w:kern w:val="0"/>
          <w:sz w:val="24"/>
          <w:szCs w:val="24"/>
        </w:rPr>
        <w:t>2</w:t>
      </w:r>
      <w:r>
        <w:rPr>
          <w:rStyle w:val="13"/>
          <w:rFonts w:hint="eastAsia" w:ascii="宋体" w:hAnsi="宋体"/>
          <w:color w:val="000000" w:themeColor="text1"/>
          <w:kern w:val="0"/>
          <w:sz w:val="24"/>
          <w:szCs w:val="24"/>
        </w:rPr>
        <w:t>、投标人须知</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_Toc509393050 \h </w:instrText>
      </w:r>
      <w:r>
        <w:rPr>
          <w:rFonts w:ascii="宋体" w:hAnsi="宋体"/>
          <w:color w:val="000000" w:themeColor="text1"/>
          <w:sz w:val="24"/>
          <w:szCs w:val="24"/>
        </w:rPr>
        <w:fldChar w:fldCharType="separate"/>
      </w:r>
      <w:r>
        <w:rPr>
          <w:rFonts w:ascii="宋体" w:hAnsi="宋体"/>
          <w:color w:val="000000" w:themeColor="text1"/>
          <w:sz w:val="24"/>
          <w:szCs w:val="24"/>
        </w:rPr>
        <w:t>- 10 -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8"/>
        <w:tabs>
          <w:tab w:val="right" w:leader="dot" w:pos="9062"/>
        </w:tabs>
        <w:spacing w:line="480" w:lineRule="auto"/>
        <w:rPr>
          <w:rFonts w:ascii="宋体"/>
          <w:b w:val="0"/>
          <w:bCs w:val="0"/>
          <w:caps w:val="0"/>
          <w:color w:val="000000" w:themeColor="text1"/>
          <w:sz w:val="24"/>
          <w:szCs w:val="24"/>
        </w:rPr>
      </w:pPr>
      <w:r>
        <w:fldChar w:fldCharType="begin"/>
      </w:r>
      <w:r>
        <w:instrText xml:space="preserve"> HYPERLINK \l "_Toc509393051" </w:instrText>
      </w:r>
      <w:r>
        <w:fldChar w:fldCharType="separate"/>
      </w:r>
      <w:r>
        <w:rPr>
          <w:rStyle w:val="13"/>
          <w:rFonts w:hint="eastAsia" w:ascii="宋体" w:hAnsi="宋体"/>
          <w:color w:val="000000" w:themeColor="text1"/>
          <w:sz w:val="24"/>
          <w:szCs w:val="24"/>
        </w:rPr>
        <w:t>第三章评标办法（综合评估法）</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_Toc509393051 \h </w:instrText>
      </w:r>
      <w:r>
        <w:rPr>
          <w:rFonts w:ascii="宋体" w:hAnsi="宋体"/>
          <w:color w:val="000000" w:themeColor="text1"/>
          <w:sz w:val="24"/>
          <w:szCs w:val="24"/>
        </w:rPr>
        <w:fldChar w:fldCharType="separate"/>
      </w:r>
      <w:r>
        <w:rPr>
          <w:rFonts w:ascii="宋体" w:hAnsi="宋体"/>
          <w:color w:val="000000" w:themeColor="text1"/>
          <w:sz w:val="24"/>
          <w:szCs w:val="24"/>
        </w:rPr>
        <w:t>- 22 -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"_Toc509393052" </w:instrText>
      </w:r>
      <w:r>
        <w:fldChar w:fldCharType="separate"/>
      </w:r>
      <w:r>
        <w:rPr>
          <w:rStyle w:val="13"/>
          <w:rFonts w:ascii="宋体" w:hAnsi="宋体"/>
          <w:color w:val="000000" w:themeColor="text1"/>
          <w:kern w:val="0"/>
          <w:sz w:val="24"/>
          <w:szCs w:val="24"/>
        </w:rPr>
        <w:t>1</w:t>
      </w:r>
      <w:r>
        <w:rPr>
          <w:rStyle w:val="13"/>
          <w:rFonts w:hint="eastAsia" w:ascii="宋体" w:hAnsi="宋体"/>
          <w:color w:val="000000" w:themeColor="text1"/>
          <w:kern w:val="0"/>
          <w:sz w:val="24"/>
          <w:szCs w:val="24"/>
        </w:rPr>
        <w:t>、评标办法前附表</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_Toc509393052 \h </w:instrText>
      </w:r>
      <w:r>
        <w:rPr>
          <w:rFonts w:ascii="宋体" w:hAnsi="宋体"/>
          <w:color w:val="000000" w:themeColor="text1"/>
          <w:sz w:val="24"/>
          <w:szCs w:val="24"/>
        </w:rPr>
        <w:fldChar w:fldCharType="separate"/>
      </w:r>
      <w:r>
        <w:rPr>
          <w:rFonts w:ascii="宋体" w:hAnsi="宋体"/>
          <w:color w:val="000000" w:themeColor="text1"/>
          <w:sz w:val="24"/>
          <w:szCs w:val="24"/>
        </w:rPr>
        <w:t>- 22 -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"_Toc509393053" </w:instrText>
      </w:r>
      <w:r>
        <w:fldChar w:fldCharType="separate"/>
      </w:r>
      <w:r>
        <w:rPr>
          <w:rStyle w:val="13"/>
          <w:rFonts w:ascii="宋体" w:hAnsi="宋体"/>
          <w:color w:val="000000" w:themeColor="text1"/>
          <w:kern w:val="0"/>
          <w:sz w:val="24"/>
          <w:szCs w:val="24"/>
        </w:rPr>
        <w:t>2</w:t>
      </w:r>
      <w:r>
        <w:rPr>
          <w:rStyle w:val="13"/>
          <w:rFonts w:hint="eastAsia" w:ascii="宋体" w:hAnsi="宋体"/>
          <w:color w:val="000000" w:themeColor="text1"/>
          <w:kern w:val="0"/>
          <w:sz w:val="24"/>
          <w:szCs w:val="24"/>
        </w:rPr>
        <w:t>、评标方法</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_Toc509393053 \h </w:instrText>
      </w:r>
      <w:r>
        <w:rPr>
          <w:rFonts w:ascii="宋体" w:hAnsi="宋体"/>
          <w:color w:val="000000" w:themeColor="text1"/>
          <w:sz w:val="24"/>
          <w:szCs w:val="24"/>
        </w:rPr>
        <w:fldChar w:fldCharType="separate"/>
      </w:r>
      <w:r>
        <w:rPr>
          <w:rFonts w:ascii="宋体" w:hAnsi="宋体"/>
          <w:color w:val="000000" w:themeColor="text1"/>
          <w:sz w:val="24"/>
          <w:szCs w:val="24"/>
        </w:rPr>
        <w:t>- 24 -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"_Toc509393054" </w:instrText>
      </w:r>
      <w:r>
        <w:fldChar w:fldCharType="separate"/>
      </w:r>
      <w:r>
        <w:rPr>
          <w:rStyle w:val="13"/>
          <w:rFonts w:ascii="宋体" w:hAnsi="宋体"/>
          <w:color w:val="000000" w:themeColor="text1"/>
          <w:kern w:val="0"/>
          <w:sz w:val="24"/>
          <w:szCs w:val="24"/>
        </w:rPr>
        <w:t>3</w:t>
      </w:r>
      <w:r>
        <w:rPr>
          <w:rStyle w:val="13"/>
          <w:rFonts w:hint="eastAsia" w:ascii="宋体" w:hAnsi="宋体"/>
          <w:color w:val="000000" w:themeColor="text1"/>
          <w:kern w:val="0"/>
          <w:sz w:val="24"/>
          <w:szCs w:val="24"/>
        </w:rPr>
        <w:t>、评审标准</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_Toc509393054 \h </w:instrText>
      </w:r>
      <w:r>
        <w:rPr>
          <w:rFonts w:ascii="宋体" w:hAnsi="宋体"/>
          <w:color w:val="000000" w:themeColor="text1"/>
          <w:sz w:val="24"/>
          <w:szCs w:val="24"/>
        </w:rPr>
        <w:fldChar w:fldCharType="separate"/>
      </w:r>
      <w:r>
        <w:rPr>
          <w:rFonts w:ascii="宋体" w:hAnsi="宋体"/>
          <w:color w:val="000000" w:themeColor="text1"/>
          <w:sz w:val="24"/>
          <w:szCs w:val="24"/>
        </w:rPr>
        <w:t>- 25 -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"_Toc509393055" </w:instrText>
      </w:r>
      <w:r>
        <w:fldChar w:fldCharType="separate"/>
      </w:r>
      <w:r>
        <w:rPr>
          <w:rStyle w:val="13"/>
          <w:rFonts w:ascii="宋体" w:hAnsi="宋体"/>
          <w:color w:val="000000" w:themeColor="text1"/>
          <w:kern w:val="0"/>
          <w:sz w:val="24"/>
          <w:szCs w:val="24"/>
        </w:rPr>
        <w:t>4</w:t>
      </w:r>
      <w:r>
        <w:rPr>
          <w:rStyle w:val="13"/>
          <w:rFonts w:hint="eastAsia" w:ascii="宋体" w:hAnsi="宋体"/>
          <w:color w:val="000000" w:themeColor="text1"/>
          <w:kern w:val="0"/>
          <w:sz w:val="24"/>
          <w:szCs w:val="24"/>
        </w:rPr>
        <w:t>、评标程序</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_Toc509393055 \h </w:instrText>
      </w:r>
      <w:r>
        <w:rPr>
          <w:rFonts w:ascii="宋体" w:hAnsi="宋体"/>
          <w:color w:val="000000" w:themeColor="text1"/>
          <w:sz w:val="24"/>
          <w:szCs w:val="24"/>
        </w:rPr>
        <w:fldChar w:fldCharType="separate"/>
      </w:r>
      <w:r>
        <w:rPr>
          <w:rFonts w:ascii="宋体" w:hAnsi="宋体"/>
          <w:color w:val="000000" w:themeColor="text1"/>
          <w:sz w:val="24"/>
          <w:szCs w:val="24"/>
        </w:rPr>
        <w:t>- 25 -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9"/>
        <w:tabs>
          <w:tab w:val="right" w:leader="dot" w:pos="9062"/>
        </w:tabs>
        <w:spacing w:line="480" w:lineRule="auto"/>
        <w:rPr>
          <w:rFonts w:ascii="宋体"/>
          <w:smallCaps w:val="0"/>
          <w:color w:val="000000" w:themeColor="text1"/>
          <w:sz w:val="24"/>
          <w:szCs w:val="24"/>
        </w:rPr>
      </w:pPr>
      <w:r>
        <w:fldChar w:fldCharType="begin"/>
      </w:r>
      <w:r>
        <w:instrText xml:space="preserve"> HYPERLINK \l "_Toc509393056" </w:instrText>
      </w:r>
      <w:r>
        <w:fldChar w:fldCharType="separate"/>
      </w:r>
      <w:r>
        <w:rPr>
          <w:rStyle w:val="13"/>
          <w:rFonts w:ascii="宋体" w:hAnsi="宋体"/>
          <w:color w:val="000000" w:themeColor="text1"/>
          <w:kern w:val="0"/>
          <w:sz w:val="24"/>
          <w:szCs w:val="24"/>
        </w:rPr>
        <w:t>5</w:t>
      </w:r>
      <w:r>
        <w:rPr>
          <w:rStyle w:val="13"/>
          <w:rFonts w:hint="eastAsia" w:ascii="宋体" w:hAnsi="宋体"/>
          <w:color w:val="000000" w:themeColor="text1"/>
          <w:kern w:val="0"/>
          <w:sz w:val="24"/>
          <w:szCs w:val="24"/>
        </w:rPr>
        <w:t>、附件：废标条件</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_Toc509393056 \h </w:instrText>
      </w:r>
      <w:r>
        <w:rPr>
          <w:rFonts w:ascii="宋体" w:hAnsi="宋体"/>
          <w:color w:val="000000" w:themeColor="text1"/>
          <w:sz w:val="24"/>
          <w:szCs w:val="24"/>
        </w:rPr>
        <w:fldChar w:fldCharType="separate"/>
      </w:r>
      <w:r>
        <w:rPr>
          <w:rFonts w:ascii="宋体" w:hAnsi="宋体"/>
          <w:color w:val="000000" w:themeColor="text1"/>
          <w:sz w:val="24"/>
          <w:szCs w:val="24"/>
        </w:rPr>
        <w:t>- 26 -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8"/>
        <w:tabs>
          <w:tab w:val="right" w:leader="dot" w:pos="9062"/>
        </w:tabs>
        <w:spacing w:line="480" w:lineRule="auto"/>
        <w:rPr>
          <w:rFonts w:ascii="宋体"/>
          <w:b w:val="0"/>
          <w:bCs w:val="0"/>
          <w:caps w:val="0"/>
          <w:color w:val="000000" w:themeColor="text1"/>
          <w:sz w:val="24"/>
          <w:szCs w:val="24"/>
        </w:rPr>
      </w:pPr>
      <w:r>
        <w:fldChar w:fldCharType="begin"/>
      </w:r>
      <w:r>
        <w:instrText xml:space="preserve"> HYPERLINK \l "_Toc509393057" </w:instrText>
      </w:r>
      <w:r>
        <w:fldChar w:fldCharType="separate"/>
      </w:r>
      <w:r>
        <w:rPr>
          <w:rStyle w:val="13"/>
          <w:rFonts w:hint="eastAsia" w:ascii="宋体" w:hAnsi="宋体"/>
          <w:color w:val="000000" w:themeColor="text1"/>
          <w:sz w:val="24"/>
          <w:szCs w:val="24"/>
        </w:rPr>
        <w:t>第四章规格及技术要求</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_Toc509393057 \h </w:instrText>
      </w:r>
      <w:r>
        <w:rPr>
          <w:rFonts w:ascii="宋体" w:hAnsi="宋体"/>
          <w:color w:val="000000" w:themeColor="text1"/>
          <w:sz w:val="24"/>
          <w:szCs w:val="24"/>
        </w:rPr>
        <w:fldChar w:fldCharType="separate"/>
      </w:r>
      <w:r>
        <w:rPr>
          <w:rFonts w:ascii="宋体" w:hAnsi="宋体"/>
          <w:color w:val="000000" w:themeColor="text1"/>
          <w:sz w:val="24"/>
          <w:szCs w:val="24"/>
        </w:rPr>
        <w:t>- 28 -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8"/>
        <w:tabs>
          <w:tab w:val="right" w:leader="dot" w:pos="9062"/>
        </w:tabs>
        <w:spacing w:line="480" w:lineRule="auto"/>
        <w:rPr>
          <w:rFonts w:ascii="宋体"/>
          <w:b w:val="0"/>
          <w:bCs w:val="0"/>
          <w:caps w:val="0"/>
          <w:color w:val="000000" w:themeColor="text1"/>
          <w:sz w:val="24"/>
          <w:szCs w:val="24"/>
        </w:rPr>
      </w:pPr>
      <w:r>
        <w:fldChar w:fldCharType="begin"/>
      </w:r>
      <w:r>
        <w:instrText xml:space="preserve"> HYPERLINK \l "_Toc509393058" </w:instrText>
      </w:r>
      <w:r>
        <w:fldChar w:fldCharType="separate"/>
      </w:r>
      <w:r>
        <w:rPr>
          <w:rStyle w:val="13"/>
          <w:rFonts w:hint="eastAsia" w:ascii="宋体" w:hAnsi="宋体"/>
          <w:color w:val="000000" w:themeColor="text1"/>
          <w:sz w:val="24"/>
          <w:szCs w:val="24"/>
        </w:rPr>
        <w:t>第五章合同格式</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_Toc509393058 \h </w:instrText>
      </w:r>
      <w:r>
        <w:rPr>
          <w:rFonts w:ascii="宋体" w:hAnsi="宋体"/>
          <w:color w:val="000000" w:themeColor="text1"/>
          <w:sz w:val="24"/>
          <w:szCs w:val="24"/>
        </w:rPr>
        <w:fldChar w:fldCharType="separate"/>
      </w:r>
      <w:r>
        <w:rPr>
          <w:rFonts w:ascii="宋体" w:hAnsi="宋体"/>
          <w:color w:val="000000" w:themeColor="text1"/>
          <w:sz w:val="24"/>
          <w:szCs w:val="24"/>
        </w:rPr>
        <w:t>- 40 -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pStyle w:val="8"/>
        <w:tabs>
          <w:tab w:val="right" w:leader="dot" w:pos="9062"/>
        </w:tabs>
        <w:spacing w:line="480" w:lineRule="auto"/>
        <w:rPr>
          <w:rFonts w:ascii="宋体"/>
          <w:b w:val="0"/>
          <w:bCs w:val="0"/>
          <w:caps w:val="0"/>
          <w:color w:val="000000" w:themeColor="text1"/>
          <w:sz w:val="24"/>
          <w:szCs w:val="24"/>
        </w:rPr>
      </w:pPr>
      <w:r>
        <w:fldChar w:fldCharType="begin"/>
      </w:r>
      <w:r>
        <w:instrText xml:space="preserve"> HYPERLINK \l "_Toc509393059" </w:instrText>
      </w:r>
      <w:r>
        <w:fldChar w:fldCharType="separate"/>
      </w:r>
      <w:r>
        <w:rPr>
          <w:rStyle w:val="13"/>
          <w:rFonts w:hint="eastAsia" w:ascii="宋体" w:hAnsi="宋体"/>
          <w:color w:val="000000" w:themeColor="text1"/>
          <w:sz w:val="24"/>
          <w:szCs w:val="24"/>
        </w:rPr>
        <w:t>第六章投标文件格式（部分）</w:t>
      </w:r>
      <w:r>
        <w:rPr>
          <w:rFonts w:ascii="宋体"/>
          <w:color w:val="000000" w:themeColor="text1"/>
          <w:sz w:val="24"/>
          <w:szCs w:val="24"/>
        </w:rPr>
        <w:tab/>
      </w:r>
      <w:r>
        <w:rPr>
          <w:rFonts w:ascii="宋体" w:hAnsi="宋体"/>
          <w:color w:val="000000" w:themeColor="text1"/>
          <w:sz w:val="24"/>
          <w:szCs w:val="24"/>
        </w:rPr>
        <w:fldChar w:fldCharType="begin"/>
      </w:r>
      <w:r>
        <w:rPr>
          <w:rFonts w:ascii="宋体" w:hAnsi="宋体"/>
          <w:color w:val="000000" w:themeColor="text1"/>
          <w:sz w:val="24"/>
          <w:szCs w:val="24"/>
        </w:rPr>
        <w:instrText xml:space="preserve"> PAGEREF _Toc509393059 \h </w:instrText>
      </w:r>
      <w:r>
        <w:rPr>
          <w:rFonts w:ascii="宋体" w:hAnsi="宋体"/>
          <w:color w:val="000000" w:themeColor="text1"/>
          <w:sz w:val="24"/>
          <w:szCs w:val="24"/>
        </w:rPr>
        <w:fldChar w:fldCharType="separate"/>
      </w:r>
      <w:r>
        <w:rPr>
          <w:rFonts w:ascii="宋体" w:hAnsi="宋体"/>
          <w:color w:val="000000" w:themeColor="text1"/>
          <w:sz w:val="24"/>
          <w:szCs w:val="24"/>
        </w:rPr>
        <w:t>- 43 -</w:t>
      </w:r>
      <w:r>
        <w:rPr>
          <w:rFonts w:ascii="宋体" w:hAnsi="宋体"/>
          <w:color w:val="000000" w:themeColor="text1"/>
          <w:sz w:val="24"/>
          <w:szCs w:val="24"/>
        </w:rPr>
        <w:fldChar w:fldCharType="end"/>
      </w:r>
      <w:r>
        <w:rPr>
          <w:rFonts w:ascii="宋体" w:hAnsi="宋体"/>
          <w:color w:val="000000" w:themeColor="text1"/>
          <w:sz w:val="24"/>
          <w:szCs w:val="24"/>
        </w:rPr>
        <w:fldChar w:fldCharType="end"/>
      </w:r>
    </w:p>
    <w:p>
      <w:pPr>
        <w:rPr>
          <w:color w:val="000000" w:themeColor="text1"/>
        </w:rPr>
      </w:pPr>
      <w:r>
        <w:rPr>
          <w:color w:val="000000" w:themeColor="text1"/>
        </w:rPr>
        <w:fldChar w:fldCharType="end"/>
      </w:r>
    </w:p>
    <w:p>
      <w:pPr>
        <w:rPr>
          <w:color w:val="000000" w:themeColor="text1"/>
        </w:rPr>
      </w:pPr>
    </w:p>
    <w:p>
      <w:pPr>
        <w:rPr>
          <w:color w:val="000000" w:themeColor="text1"/>
        </w:rPr>
      </w:pPr>
    </w:p>
    <w:p>
      <w:pPr>
        <w:pStyle w:val="2"/>
        <w:rPr>
          <w:color w:val="000000" w:themeColor="text1"/>
        </w:rPr>
      </w:pPr>
    </w:p>
    <w:p>
      <w:pPr>
        <w:rPr>
          <w:color w:val="000000" w:themeColor="text1"/>
        </w:rPr>
      </w:pPr>
    </w:p>
    <w:p>
      <w:pPr>
        <w:pStyle w:val="15"/>
        <w:rPr>
          <w:color w:val="000000" w:themeColor="text1"/>
        </w:rPr>
      </w:pPr>
    </w:p>
    <w:p>
      <w:pPr>
        <w:pStyle w:val="15"/>
        <w:rPr>
          <w:color w:val="000000" w:themeColor="text1"/>
        </w:rPr>
      </w:pPr>
    </w:p>
    <w:p>
      <w:pPr>
        <w:pStyle w:val="15"/>
        <w:rPr>
          <w:color w:val="000000" w:themeColor="text1"/>
        </w:rPr>
      </w:pPr>
    </w:p>
    <w:p>
      <w:pPr>
        <w:pStyle w:val="15"/>
        <w:rPr>
          <w:color w:val="000000" w:themeColor="text1"/>
        </w:rPr>
      </w:pPr>
    </w:p>
    <w:p>
      <w:pPr>
        <w:rPr>
          <w:color w:val="000000" w:themeColor="text1"/>
        </w:rPr>
      </w:pPr>
    </w:p>
    <w:p>
      <w:pPr>
        <w:widowControl/>
        <w:jc w:val="left"/>
        <w:rPr>
          <w:b/>
          <w:color w:val="000000" w:themeColor="text1"/>
          <w:kern w:val="44"/>
          <w:sz w:val="32"/>
          <w:szCs w:val="32"/>
        </w:rPr>
      </w:pPr>
      <w:bookmarkStart w:id="8" w:name="_Toc509393047"/>
      <w:bookmarkStart w:id="9" w:name="_Toc509321669"/>
      <w:bookmarkStart w:id="10" w:name="_Toc505243173"/>
      <w:r>
        <w:rPr>
          <w:color w:val="000000" w:themeColor="text1"/>
          <w:szCs w:val="32"/>
        </w:rPr>
        <w:br w:type="page"/>
      </w:r>
    </w:p>
    <w:p>
      <w:pPr>
        <w:pStyle w:val="3"/>
        <w:rPr>
          <w:color w:val="000000" w:themeColor="text1"/>
          <w:szCs w:val="32"/>
        </w:rPr>
      </w:pPr>
      <w:r>
        <w:rPr>
          <w:rFonts w:hint="eastAsia"/>
          <w:color w:val="000000" w:themeColor="text1"/>
          <w:szCs w:val="32"/>
        </w:rPr>
        <w:t>第一章、招标公告</w:t>
      </w:r>
      <w:bookmarkEnd w:id="8"/>
      <w:bookmarkEnd w:id="9"/>
      <w:bookmarkEnd w:id="10"/>
      <w:bookmarkStart w:id="11" w:name="_Toc6687"/>
    </w:p>
    <w:bookmarkEnd w:id="11"/>
    <w:p>
      <w:pPr>
        <w:spacing w:line="360" w:lineRule="auto"/>
        <w:jc w:val="center"/>
        <w:rPr>
          <w:rFonts w:hint="eastAsia" w:ascii="宋体" w:hAnsi="宋体" w:cs="宋体"/>
          <w:color w:val="000000" w:themeColor="text1"/>
          <w:szCs w:val="21"/>
        </w:rPr>
      </w:pPr>
      <w:r>
        <w:rPr>
          <w:rFonts w:hint="eastAsia" w:ascii="宋体" w:hAnsi="宋体" w:cs="宋体"/>
          <w:color w:val="000000" w:themeColor="text1"/>
          <w:szCs w:val="21"/>
        </w:rPr>
        <w:t>通许县交通运输局执法所非现场执法系统采购项目</w:t>
      </w:r>
    </w:p>
    <w:p>
      <w:pPr>
        <w:spacing w:line="360" w:lineRule="auto"/>
        <w:jc w:val="center"/>
        <w:rPr>
          <w:rFonts w:hint="eastAsia" w:ascii="宋体" w:hAnsi="宋体" w:cs="宋体"/>
          <w:color w:val="000000" w:themeColor="text1"/>
          <w:szCs w:val="21"/>
        </w:rPr>
      </w:pPr>
      <w:r>
        <w:rPr>
          <w:rFonts w:hint="eastAsia" w:ascii="宋体" w:hAnsi="宋体" w:cs="宋体"/>
          <w:color w:val="000000" w:themeColor="text1"/>
          <w:szCs w:val="21"/>
        </w:rPr>
        <w:t>招标公告</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一、招标条件</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本招标项目通许县交通运输局执法所非现场执法系统(采购）项目招标人为通许县交通运输局执法所，招标项目资金来自财政资金，出资比例为100%。该项目已具备招标条件，现对该项目进行公开招标。</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二、项目概况与招标范围</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 xml:space="preserve">2.1项目名称：通许县交通运输局执法所非现场执法系统采购项目 </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2.2项目编号：豫通财货物公开招标（</w:t>
      </w:r>
      <w:r>
        <w:rPr>
          <w:rFonts w:hint="eastAsia" w:ascii="宋体" w:hAnsi="宋体" w:cs="宋体"/>
          <w:color w:val="000000" w:themeColor="text1"/>
          <w:szCs w:val="21"/>
          <w:lang w:val="en-US" w:eastAsia="zh-CN"/>
        </w:rPr>
        <w:t>2018）039</w:t>
      </w:r>
      <w:r>
        <w:rPr>
          <w:rFonts w:hint="eastAsia" w:ascii="宋体" w:hAnsi="宋体" w:cs="宋体"/>
          <w:color w:val="000000" w:themeColor="text1"/>
          <w:szCs w:val="21"/>
        </w:rPr>
        <w:t>号</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2.3资金来源：财政资金</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2.4预算金额：</w:t>
      </w:r>
      <w:r>
        <w:rPr>
          <w:rFonts w:hint="eastAsia" w:ascii="宋体" w:hAnsi="宋体" w:cs="宋体"/>
          <w:color w:val="000000" w:themeColor="text1"/>
          <w:szCs w:val="21"/>
          <w:lang w:val="en-US" w:eastAsia="zh-CN"/>
        </w:rPr>
        <w:t>165</w:t>
      </w:r>
      <w:r>
        <w:rPr>
          <w:rFonts w:hint="eastAsia" w:ascii="宋体" w:hAnsi="宋体" w:cs="宋体"/>
          <w:color w:val="000000" w:themeColor="text1"/>
          <w:szCs w:val="21"/>
          <w:lang w:eastAsia="zh-CN"/>
        </w:rPr>
        <w:t>万</w:t>
      </w:r>
      <w:r>
        <w:rPr>
          <w:rFonts w:hint="eastAsia" w:ascii="宋体" w:hAnsi="宋体" w:cs="宋体"/>
          <w:color w:val="000000" w:themeColor="text1"/>
          <w:szCs w:val="21"/>
        </w:rPr>
        <w:t>元</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2.5资金落实情况：已落实</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2.6采购内容：非现场执法检测系统设备采购项目（具体内容及要求详见招标文件）</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2.7交货及安装调试期：合同签订后90日历天</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2.8交货地点：招标人指定地点</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2.9质量要求：合格，符合国家现行相关行业标准</w:t>
      </w:r>
    </w:p>
    <w:p>
      <w:pPr>
        <w:spacing w:line="360" w:lineRule="auto"/>
        <w:ind w:left="0" w:leftChars="0" w:firstLine="638" w:firstLineChars="304"/>
        <w:rPr>
          <w:rFonts w:hint="eastAsia" w:ascii="宋体" w:hAnsi="宋体" w:cs="宋体"/>
          <w:color w:val="000000" w:themeColor="text1"/>
          <w:szCs w:val="21"/>
        </w:rPr>
      </w:pPr>
      <w:r>
        <w:rPr>
          <w:rFonts w:hint="eastAsia" w:ascii="宋体" w:hAnsi="宋体" w:cs="宋体"/>
          <w:color w:val="000000" w:themeColor="text1"/>
          <w:szCs w:val="21"/>
        </w:rPr>
        <w:t>2.10质保期限：一年</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三、投标人资格要求</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 xml:space="preserve">符合《中华人民共和国政府采购法》第二十二条规定和《中华人民共和国政府采购法实施条例》第十七条规定； </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3.1具备有效的营业执照（营业执照含有统一社会信用代码），具有独立完成本项目的供货和安装能力；</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3.2 提供企业2015年度、2016年度、2017年度经审计的财务报告（企业成立不足三年，提供自成立以来的）；</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3.3提供企业依法缴纳税收的相关材料（近三个月）；</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3.4提供本单位拟派项目负责人针对本项目的委任书；</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3.5提供本单位拟派项目负责人及授权委托人在本单位缴纳的近三个月有效社会保险证明；</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3.6参加政府采购活动前3年内在经营活动中没有重大违法记录的书面声明；</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3.7各投标人近三年内未列入失信被执行人、重大税收违法案件当事人名单、政府采购严重违法失信行为记录名单的查询截图（信用记录查询渠道：通过“信用中国”网站（www.creditchian.gov.cn）、中国政府采购网（www.ccgp.gov.cn）等渠道查询信用记录）；</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3.8单位负责人为同一人或者存在控股、管理关系的不同单位，母公司、分公司、子公司不可同时投标；</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3.9 法律、行政法规规定的其他条件；</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3.10各投标人需对提供所有资料的真实性负责，提供虚假资料的视为自动放弃中标；</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3.11本次招标不接受联合体投标。</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四、政府采购政策：</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1、优先采购节能环保产品。</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2、执行促进中小型企业发展政策（监狱企业、残疾人福利性企业视同小微企业）。</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五、投标报名</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投标人应注册成为开封市公共资源交易中心网站会员并取得CA密钥，请于2019年3月</w:t>
      </w:r>
      <w:r>
        <w:rPr>
          <w:rFonts w:hint="eastAsia" w:ascii="宋体" w:hAnsi="宋体" w:cs="宋体"/>
          <w:color w:val="000000" w:themeColor="text1"/>
          <w:szCs w:val="21"/>
          <w:lang w:val="en-US" w:eastAsia="zh-CN"/>
        </w:rPr>
        <w:t>7</w:t>
      </w:r>
      <w:r>
        <w:rPr>
          <w:rFonts w:hint="eastAsia" w:ascii="宋体" w:hAnsi="宋体" w:cs="宋体"/>
          <w:color w:val="000000" w:themeColor="text1"/>
          <w:szCs w:val="21"/>
        </w:rPr>
        <w:t>日至2019年3月</w:t>
      </w:r>
      <w:r>
        <w:rPr>
          <w:rFonts w:hint="eastAsia" w:ascii="宋体" w:hAnsi="宋体" w:cs="宋体"/>
          <w:color w:val="000000" w:themeColor="text1"/>
          <w:szCs w:val="21"/>
          <w:lang w:val="en-US" w:eastAsia="zh-CN"/>
        </w:rPr>
        <w:t>13</w:t>
      </w:r>
      <w:r>
        <w:rPr>
          <w:rFonts w:hint="eastAsia" w:ascii="宋体" w:hAnsi="宋体" w:cs="宋体"/>
          <w:color w:val="000000" w:themeColor="text1"/>
          <w:szCs w:val="21"/>
        </w:rPr>
        <w:t>日在开封市公共资源交易中心网站http://www.kfsggzyjyw.cn:8080/ygpt/登录政采、工程业务系统，凭CA密钥登录会员系统，并按提示报名。投标人（供应商）系统操作手册在开封市公共资源交易中心网站http://www.kfsggzyjyw.cn/czgc/13525.htm查看。</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六、招标文件的获取</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6.1报名成功后，投标人凭CA密钥登录会员系统，按要求下载电子招标文件。投标人未按规定下载电子招标文件的，其投标将被拒绝。</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6.2请投标人时刻关注开封市公共资源交易中心网站和公司CA密钥推送消息。</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6.3 CA密钥在开封市公共资源交易中心受理大厅东窗口办理，地址：开封市郑开大道与三大街交叉口路北市民之家五楼。</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注：投标文件递交时，现场收取文件费，现金:500元/份（售后不退）。</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七、投标截止日期</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7.1投标文件递交的截止时间（投标截止时间，下同）：2019年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时</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分。</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地   点：通许县公共资源交易中心二楼</w:t>
      </w:r>
      <w:r>
        <w:rPr>
          <w:rFonts w:hint="eastAsia" w:ascii="宋体" w:hAnsi="宋体" w:cs="宋体"/>
          <w:color w:val="000000" w:themeColor="text1"/>
          <w:szCs w:val="21"/>
          <w:lang w:eastAsia="zh-CN"/>
        </w:rPr>
        <w:t>第一</w:t>
      </w:r>
      <w:r>
        <w:rPr>
          <w:rFonts w:hint="eastAsia" w:ascii="宋体" w:hAnsi="宋体" w:cs="宋体"/>
          <w:color w:val="000000" w:themeColor="text1"/>
          <w:szCs w:val="21"/>
        </w:rPr>
        <w:t>开标室（通许县行政路东段路北人民体育场对面)。</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7.2开标时间及地点</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7.2.1开标时间：2019年</w:t>
      </w:r>
      <w:r>
        <w:rPr>
          <w:rFonts w:hint="eastAsia" w:ascii="宋体" w:hAnsi="宋体" w:cs="宋体"/>
          <w:color w:val="000000" w:themeColor="text1"/>
          <w:szCs w:val="21"/>
          <w:lang w:val="en-US" w:eastAsia="zh-CN"/>
        </w:rPr>
        <w:t>3</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27</w:t>
      </w:r>
      <w:r>
        <w:rPr>
          <w:rFonts w:hint="eastAsia" w:ascii="宋体" w:hAnsi="宋体" w:cs="宋体"/>
          <w:color w:val="000000" w:themeColor="text1"/>
          <w:szCs w:val="21"/>
        </w:rPr>
        <w:t>日</w:t>
      </w:r>
      <w:r>
        <w:rPr>
          <w:rFonts w:hint="eastAsia" w:ascii="宋体" w:hAnsi="宋体" w:cs="宋体"/>
          <w:color w:val="000000" w:themeColor="text1"/>
          <w:szCs w:val="21"/>
          <w:lang w:val="en-US" w:eastAsia="zh-CN"/>
        </w:rPr>
        <w:t>9</w:t>
      </w:r>
      <w:r>
        <w:rPr>
          <w:rFonts w:hint="eastAsia" w:ascii="宋体" w:hAnsi="宋体" w:cs="宋体"/>
          <w:color w:val="000000" w:themeColor="text1"/>
          <w:szCs w:val="21"/>
        </w:rPr>
        <w:t>时</w:t>
      </w:r>
      <w:r>
        <w:rPr>
          <w:rFonts w:hint="eastAsia" w:ascii="宋体" w:hAnsi="宋体" w:cs="宋体"/>
          <w:color w:val="000000" w:themeColor="text1"/>
          <w:szCs w:val="21"/>
          <w:lang w:val="en-US" w:eastAsia="zh-CN"/>
        </w:rPr>
        <w:t>30</w:t>
      </w:r>
      <w:r>
        <w:rPr>
          <w:rFonts w:hint="eastAsia" w:ascii="宋体" w:hAnsi="宋体" w:cs="宋体"/>
          <w:color w:val="000000" w:themeColor="text1"/>
          <w:szCs w:val="21"/>
        </w:rPr>
        <w:t>分。</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7.2.2开标地点：通许县公共资源交易中心二楼</w:t>
      </w:r>
      <w:r>
        <w:rPr>
          <w:rFonts w:hint="eastAsia" w:ascii="宋体" w:hAnsi="宋体" w:cs="宋体"/>
          <w:color w:val="000000" w:themeColor="text1"/>
          <w:szCs w:val="21"/>
          <w:lang w:eastAsia="zh-CN"/>
        </w:rPr>
        <w:t>第一</w:t>
      </w:r>
      <w:r>
        <w:rPr>
          <w:rFonts w:hint="eastAsia" w:ascii="宋体" w:hAnsi="宋体" w:cs="宋体"/>
          <w:color w:val="000000" w:themeColor="text1"/>
          <w:szCs w:val="21"/>
        </w:rPr>
        <w:t>开标室（通许县行政路东段路北人民体育场对面)</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7.3逾期送达的或者未送达指定地点的投标文件，招标人不予受理。</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7.4投标人需递交纸质投标文件。</w:t>
      </w:r>
    </w:p>
    <w:p>
      <w:pPr>
        <w:spacing w:line="360" w:lineRule="auto"/>
        <w:rPr>
          <w:rFonts w:hint="eastAsia" w:ascii="宋体" w:hAnsi="宋体" w:cs="宋体"/>
          <w:color w:val="000000" w:themeColor="text1"/>
          <w:szCs w:val="21"/>
        </w:rPr>
      </w:pPr>
      <w:r>
        <w:rPr>
          <w:rFonts w:hint="eastAsia" w:ascii="宋体" w:hAnsi="宋体" w:cs="宋体"/>
          <w:color w:val="000000" w:themeColor="text1"/>
          <w:szCs w:val="21"/>
        </w:rPr>
        <w:t>八、发布公告的媒介</w:t>
      </w:r>
    </w:p>
    <w:p>
      <w:pPr>
        <w:spacing w:line="360" w:lineRule="auto"/>
        <w:ind w:left="0" w:leftChars="0" w:firstLine="420" w:firstLineChars="200"/>
        <w:rPr>
          <w:rFonts w:hint="eastAsia" w:ascii="宋体" w:hAnsi="宋体" w:cs="宋体"/>
          <w:color w:val="000000" w:themeColor="text1"/>
          <w:szCs w:val="21"/>
        </w:rPr>
      </w:pPr>
      <w:r>
        <w:rPr>
          <w:rFonts w:hint="eastAsia" w:ascii="宋体" w:hAnsi="宋体" w:cs="宋体"/>
          <w:color w:val="000000" w:themeColor="text1"/>
          <w:szCs w:val="21"/>
        </w:rPr>
        <w:t>本招标公告同时在《中国招标投标公共服务平台》、《河南省政府采购网》、《开封市公共资源交易网》及《通许县公共资源交易网》上发布。招标人及招标代理机构对任何转载信息及由此产生的后果均不承担任何责任。</w:t>
      </w:r>
    </w:p>
    <w:p>
      <w:pPr>
        <w:widowControl/>
        <w:spacing w:line="440" w:lineRule="exact"/>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lang w:eastAsia="zh-CN"/>
        </w:rPr>
        <w:t>九、联系方式</w:t>
      </w:r>
    </w:p>
    <w:p>
      <w:pPr>
        <w:widowControl/>
        <w:spacing w:line="440" w:lineRule="exact"/>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 xml:space="preserve">招 标 人：通许县交通运输局执法所              </w:t>
      </w:r>
    </w:p>
    <w:p>
      <w:pPr>
        <w:widowControl/>
        <w:spacing w:line="440" w:lineRule="exact"/>
        <w:ind w:left="0" w:leftChars="0" w:firstLine="420" w:firstLineChars="200"/>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rPr>
        <w:t xml:space="preserve">联 系 人： </w:t>
      </w:r>
      <w:r>
        <w:rPr>
          <w:rFonts w:hint="eastAsia" w:ascii="宋体" w:hAnsi="宋体" w:cs="宋体"/>
          <w:color w:val="000000" w:themeColor="text1"/>
          <w:kern w:val="0"/>
          <w:szCs w:val="21"/>
          <w:lang w:eastAsia="zh-CN"/>
        </w:rPr>
        <w:t>胡先生</w:t>
      </w:r>
    </w:p>
    <w:p>
      <w:pPr>
        <w:widowControl/>
        <w:spacing w:line="440" w:lineRule="exact"/>
        <w:ind w:left="0" w:leftChars="0" w:firstLine="420" w:firstLineChars="200"/>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rPr>
        <w:t xml:space="preserve">电    话： </w:t>
      </w:r>
      <w:r>
        <w:rPr>
          <w:rFonts w:hint="eastAsia" w:ascii="宋体" w:hAnsi="宋体" w:cs="宋体"/>
          <w:color w:val="000000" w:themeColor="text1"/>
          <w:kern w:val="0"/>
          <w:szCs w:val="21"/>
          <w:lang w:val="en-US" w:eastAsia="zh-CN"/>
        </w:rPr>
        <w:t>13837800458</w:t>
      </w:r>
    </w:p>
    <w:p>
      <w:pPr>
        <w:widowControl/>
        <w:spacing w:line="440" w:lineRule="exact"/>
        <w:ind w:left="0" w:leftChars="0" w:firstLine="420" w:firstLineChars="200"/>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rPr>
        <w:t xml:space="preserve">地    址： </w:t>
      </w:r>
      <w:r>
        <w:rPr>
          <w:rFonts w:hint="eastAsia" w:ascii="宋体" w:hAnsi="宋体" w:cs="宋体"/>
          <w:color w:val="000000" w:themeColor="text1"/>
          <w:kern w:val="0"/>
          <w:szCs w:val="21"/>
          <w:lang w:eastAsia="zh-CN"/>
        </w:rPr>
        <w:t>通许县咸平大道中段</w:t>
      </w:r>
    </w:p>
    <w:p>
      <w:pPr>
        <w:widowControl/>
        <w:spacing w:line="440" w:lineRule="exact"/>
        <w:ind w:left="0" w:leftChars="0" w:firstLine="420" w:firstLineChars="200"/>
        <w:rPr>
          <w:rFonts w:hint="eastAsia" w:ascii="宋体" w:hAnsi="宋体" w:cs="宋体"/>
          <w:color w:val="000000" w:themeColor="text1"/>
          <w:kern w:val="0"/>
          <w:szCs w:val="21"/>
        </w:rPr>
      </w:pPr>
    </w:p>
    <w:p>
      <w:pPr>
        <w:widowControl/>
        <w:spacing w:line="440" w:lineRule="exact"/>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代理机构：河南清鸿建设咨询有限公司</w:t>
      </w:r>
    </w:p>
    <w:p>
      <w:pPr>
        <w:widowControl/>
        <w:spacing w:line="440" w:lineRule="exact"/>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地    址：郑州市郑东新区平安大道永和龙子湖广场A座南区1703</w:t>
      </w:r>
    </w:p>
    <w:p>
      <w:pPr>
        <w:widowControl/>
        <w:spacing w:line="440" w:lineRule="exact"/>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 xml:space="preserve">联 系 人： </w:t>
      </w:r>
      <w:r>
        <w:rPr>
          <w:rFonts w:hint="eastAsia" w:ascii="宋体" w:hAnsi="宋体" w:cs="宋体"/>
          <w:color w:val="000000" w:themeColor="text1"/>
          <w:kern w:val="0"/>
          <w:szCs w:val="21"/>
          <w:lang w:eastAsia="zh-CN"/>
        </w:rPr>
        <w:t>刘</w:t>
      </w:r>
      <w:r>
        <w:rPr>
          <w:rFonts w:hint="eastAsia" w:ascii="宋体" w:hAnsi="宋体" w:cs="宋体"/>
          <w:color w:val="000000" w:themeColor="text1"/>
          <w:kern w:val="0"/>
          <w:szCs w:val="21"/>
        </w:rPr>
        <w:t>先生</w:t>
      </w:r>
    </w:p>
    <w:p>
      <w:pPr>
        <w:widowControl/>
        <w:spacing w:line="440" w:lineRule="exact"/>
        <w:ind w:left="0" w:leftChars="0" w:firstLine="420" w:firstLineChars="200"/>
        <w:rPr>
          <w:rFonts w:hint="eastAsia" w:ascii="宋体" w:hAnsi="宋体" w:cs="宋体"/>
          <w:color w:val="000000" w:themeColor="text1"/>
          <w:kern w:val="0"/>
          <w:szCs w:val="21"/>
        </w:rPr>
      </w:pPr>
      <w:r>
        <w:rPr>
          <w:rFonts w:hint="eastAsia" w:ascii="宋体" w:hAnsi="宋体" w:cs="宋体"/>
          <w:color w:val="000000" w:themeColor="text1"/>
          <w:kern w:val="0"/>
          <w:szCs w:val="21"/>
        </w:rPr>
        <w:t>电    话：17633641915</w:t>
      </w:r>
    </w:p>
    <w:p>
      <w:pPr>
        <w:widowControl/>
        <w:spacing w:line="440" w:lineRule="exact"/>
        <w:rPr>
          <w:rFonts w:hint="eastAsia" w:ascii="宋体" w:hAnsi="宋体" w:cs="宋体"/>
          <w:color w:val="000000" w:themeColor="text1"/>
          <w:kern w:val="0"/>
          <w:szCs w:val="21"/>
        </w:rPr>
      </w:pPr>
      <w:bookmarkStart w:id="12" w:name="_Toc505243174"/>
      <w:bookmarkStart w:id="13" w:name="_Toc509321670"/>
      <w:bookmarkStart w:id="14" w:name="_Toc509393048"/>
      <w:r>
        <w:rPr>
          <w:rFonts w:hint="eastAsia" w:ascii="宋体" w:hAnsi="宋体" w:cs="宋体"/>
          <w:color w:val="000000" w:themeColor="text1"/>
          <w:kern w:val="0"/>
          <w:szCs w:val="21"/>
        </w:rPr>
        <w:br w:type="page"/>
      </w:r>
    </w:p>
    <w:p>
      <w:pPr>
        <w:pStyle w:val="3"/>
        <w:rPr>
          <w:color w:val="000000" w:themeColor="text1"/>
          <w:szCs w:val="32"/>
        </w:rPr>
      </w:pPr>
      <w:r>
        <w:rPr>
          <w:rFonts w:hint="eastAsia"/>
          <w:color w:val="000000" w:themeColor="text1"/>
          <w:szCs w:val="32"/>
        </w:rPr>
        <w:t>第二章投标人须知</w:t>
      </w:r>
      <w:bookmarkEnd w:id="0"/>
      <w:bookmarkEnd w:id="1"/>
      <w:bookmarkEnd w:id="2"/>
      <w:bookmarkEnd w:id="3"/>
      <w:bookmarkEnd w:id="4"/>
      <w:bookmarkEnd w:id="5"/>
      <w:bookmarkEnd w:id="6"/>
      <w:bookmarkEnd w:id="7"/>
      <w:bookmarkEnd w:id="12"/>
      <w:bookmarkEnd w:id="13"/>
      <w:bookmarkEnd w:id="14"/>
    </w:p>
    <w:p>
      <w:pPr>
        <w:pStyle w:val="2"/>
        <w:jc w:val="center"/>
        <w:rPr>
          <w:rFonts w:ascii="宋体" w:hAnsi="宋体"/>
          <w:color w:val="000000" w:themeColor="text1"/>
          <w:kern w:val="0"/>
          <w:szCs w:val="30"/>
        </w:rPr>
      </w:pPr>
      <w:bookmarkStart w:id="15" w:name="_Toc144974496"/>
      <w:bookmarkStart w:id="16" w:name="_Toc509393049"/>
      <w:bookmarkStart w:id="17" w:name="_Toc152042304"/>
      <w:bookmarkStart w:id="18" w:name="_Toc246996917"/>
      <w:bookmarkStart w:id="19" w:name="_Toc296602419"/>
      <w:bookmarkStart w:id="20" w:name="_Toc247085688"/>
      <w:bookmarkStart w:id="21" w:name="_Toc509321671"/>
      <w:bookmarkStart w:id="22" w:name="_Toc152045528"/>
      <w:bookmarkStart w:id="23" w:name="_Toc179632545"/>
      <w:bookmarkStart w:id="24" w:name="_Toc246996174"/>
      <w:r>
        <w:rPr>
          <w:rFonts w:hint="eastAsia" w:ascii="宋体" w:hAnsi="宋体"/>
          <w:color w:val="000000" w:themeColor="text1"/>
          <w:kern w:val="0"/>
          <w:szCs w:val="30"/>
        </w:rPr>
        <w:t>投标人须知前附表</w:t>
      </w:r>
      <w:bookmarkEnd w:id="15"/>
      <w:bookmarkEnd w:id="16"/>
      <w:bookmarkEnd w:id="17"/>
      <w:bookmarkEnd w:id="18"/>
      <w:bookmarkEnd w:id="19"/>
      <w:bookmarkEnd w:id="20"/>
      <w:bookmarkEnd w:id="21"/>
      <w:bookmarkEnd w:id="22"/>
      <w:bookmarkEnd w:id="23"/>
      <w:bookmarkEnd w:id="24"/>
    </w:p>
    <w:tbl>
      <w:tblPr>
        <w:tblStyle w:val="14"/>
        <w:tblW w:w="9669" w:type="dxa"/>
        <w:tblInd w:w="0" w:type="dxa"/>
        <w:tblLayout w:type="fixed"/>
        <w:tblCellMar>
          <w:top w:w="0" w:type="dxa"/>
          <w:left w:w="108" w:type="dxa"/>
          <w:bottom w:w="0" w:type="dxa"/>
          <w:right w:w="108" w:type="dxa"/>
        </w:tblCellMar>
      </w:tblPr>
      <w:tblGrid>
        <w:gridCol w:w="1029"/>
        <w:gridCol w:w="2160"/>
        <w:gridCol w:w="6480"/>
      </w:tblGrid>
      <w:tr>
        <w:tblPrEx>
          <w:tblLayout w:type="fixed"/>
          <w:tblCellMar>
            <w:top w:w="0" w:type="dxa"/>
            <w:left w:w="108" w:type="dxa"/>
            <w:bottom w:w="0" w:type="dxa"/>
            <w:right w:w="108" w:type="dxa"/>
          </w:tblCellMar>
        </w:tblPrEx>
        <w:trPr>
          <w:trHeight w:val="511" w:hRule="atLeast"/>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themeColor="text1"/>
                <w:szCs w:val="21"/>
              </w:rPr>
            </w:pPr>
            <w:r>
              <w:rPr>
                <w:rFonts w:hint="eastAsia" w:ascii="宋体" w:hAnsi="宋体"/>
                <w:b/>
                <w:color w:val="000000" w:themeColor="text1"/>
                <w:szCs w:val="21"/>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b/>
                <w:color w:val="000000" w:themeColor="text1"/>
                <w:szCs w:val="21"/>
              </w:rPr>
            </w:pPr>
            <w:r>
              <w:rPr>
                <w:rFonts w:hint="eastAsia" w:ascii="宋体" w:hAnsi="宋体"/>
                <w:b/>
                <w:color w:val="000000" w:themeColor="text1"/>
                <w:szCs w:val="21"/>
              </w:rPr>
              <w:t>条款名称</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000000" w:themeColor="text1"/>
                <w:kern w:val="0"/>
                <w:sz w:val="21"/>
                <w:szCs w:val="21"/>
                <w:lang w:val="en-US" w:eastAsia="zh-CN" w:bidi="ar-SA"/>
              </w:rPr>
            </w:pPr>
            <w:r>
              <w:rPr>
                <w:rFonts w:hint="eastAsia" w:ascii="宋体" w:hAnsi="宋体"/>
                <w:b/>
                <w:color w:val="000000" w:themeColor="text1"/>
                <w:szCs w:val="21"/>
                <w:lang w:val="en-US" w:eastAsia="zh-CN"/>
              </w:rPr>
              <w:t>编列内容</w:t>
            </w:r>
          </w:p>
        </w:tc>
      </w:tr>
      <w:tr>
        <w:tblPrEx>
          <w:tblLayout w:type="fixed"/>
          <w:tblCellMar>
            <w:top w:w="0" w:type="dxa"/>
            <w:left w:w="108" w:type="dxa"/>
            <w:bottom w:w="0" w:type="dxa"/>
            <w:right w:w="108" w:type="dxa"/>
          </w:tblCellMar>
        </w:tblPrEx>
        <w:trPr>
          <w:trHeight w:val="202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1.1.2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招标人</w:t>
            </w:r>
          </w:p>
        </w:tc>
        <w:tc>
          <w:tcPr>
            <w:tcW w:w="6480"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auto"/>
              <w:textAlignment w:val="baseline"/>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 xml:space="preserve">名    称：通许县交通运输局执法所              </w:t>
            </w:r>
          </w:p>
          <w:p>
            <w:pPr>
              <w:pStyle w:val="19"/>
              <w:widowControl/>
              <w:snapToGrid w:val="0"/>
              <w:spacing w:line="360" w:lineRule="auto"/>
              <w:textAlignment w:val="baseline"/>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地    址：通许县咸平大道中段</w:t>
            </w:r>
          </w:p>
          <w:p>
            <w:pPr>
              <w:pStyle w:val="19"/>
              <w:widowControl/>
              <w:snapToGrid w:val="0"/>
              <w:spacing w:line="360" w:lineRule="auto"/>
              <w:textAlignment w:val="baseline"/>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联 系 人：胡先生</w:t>
            </w:r>
          </w:p>
          <w:p>
            <w:pPr>
              <w:spacing w:line="360" w:lineRule="auto"/>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电    话：13837800458</w:t>
            </w:r>
          </w:p>
        </w:tc>
      </w:tr>
      <w:tr>
        <w:tblPrEx>
          <w:tblLayout w:type="fixed"/>
          <w:tblCellMar>
            <w:top w:w="0" w:type="dxa"/>
            <w:left w:w="108" w:type="dxa"/>
            <w:bottom w:w="0" w:type="dxa"/>
            <w:right w:w="108" w:type="dxa"/>
          </w:tblCellMar>
        </w:tblPrEx>
        <w:trPr>
          <w:trHeight w:val="190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1.1.3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招标代理机构</w:t>
            </w:r>
          </w:p>
        </w:tc>
        <w:tc>
          <w:tcPr>
            <w:tcW w:w="6480"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auto"/>
              <w:ind w:firstLine="4" w:firstLineChars="2"/>
              <w:textAlignment w:val="baseline"/>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名    称：河南清鸿建设咨询有限公司</w:t>
            </w:r>
          </w:p>
          <w:p>
            <w:pPr>
              <w:pStyle w:val="19"/>
              <w:widowControl/>
              <w:snapToGrid w:val="0"/>
              <w:spacing w:line="360" w:lineRule="auto"/>
              <w:ind w:firstLine="4" w:firstLineChars="2"/>
              <w:textAlignment w:val="baseline"/>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地    址：郑州市郑东新区平安大道永和龙子湖广场A座南区1703</w:t>
            </w:r>
          </w:p>
          <w:p>
            <w:pPr>
              <w:pStyle w:val="19"/>
              <w:widowControl/>
              <w:snapToGrid w:val="0"/>
              <w:spacing w:line="360" w:lineRule="auto"/>
              <w:ind w:firstLine="4" w:firstLineChars="2"/>
              <w:textAlignment w:val="baseline"/>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 xml:space="preserve">联 系 人： </w:t>
            </w:r>
            <w:r>
              <w:rPr>
                <w:rFonts w:hint="eastAsia" w:ascii="宋体" w:hAnsi="宋体" w:cs="宋体"/>
                <w:color w:val="000000" w:themeColor="text1"/>
                <w:kern w:val="0"/>
                <w:sz w:val="21"/>
                <w:szCs w:val="21"/>
                <w:lang w:val="en-US" w:eastAsia="zh-CN" w:bidi="ar-SA"/>
              </w:rPr>
              <w:t>刘</w:t>
            </w:r>
            <w:r>
              <w:rPr>
                <w:rFonts w:hint="eastAsia" w:ascii="宋体" w:hAnsi="宋体" w:eastAsia="宋体" w:cs="宋体"/>
                <w:color w:val="000000" w:themeColor="text1"/>
                <w:kern w:val="0"/>
                <w:sz w:val="21"/>
                <w:szCs w:val="21"/>
                <w:lang w:val="en-US" w:eastAsia="zh-CN" w:bidi="ar-SA"/>
              </w:rPr>
              <w:t>先生</w:t>
            </w:r>
          </w:p>
          <w:p>
            <w:pPr>
              <w:spacing w:line="360" w:lineRule="auto"/>
              <w:rPr>
                <w:rFonts w:hint="eastAsia" w:ascii="宋体" w:hAnsi="宋体" w:eastAsia="宋体" w:cs="宋体"/>
                <w:color w:val="000000" w:themeColor="text1"/>
                <w:kern w:val="0"/>
                <w:sz w:val="21"/>
                <w:szCs w:val="21"/>
                <w:lang w:val="en-US" w:eastAsia="zh-CN" w:bidi="ar-SA"/>
              </w:rPr>
            </w:pPr>
            <w:r>
              <w:rPr>
                <w:rFonts w:hint="eastAsia" w:ascii="宋体" w:hAnsi="宋体" w:eastAsia="宋体" w:cs="宋体"/>
                <w:color w:val="000000" w:themeColor="text1"/>
                <w:kern w:val="0"/>
                <w:sz w:val="21"/>
                <w:szCs w:val="21"/>
                <w:lang w:val="en-US" w:eastAsia="zh-CN" w:bidi="ar-SA"/>
              </w:rPr>
              <w:t>电    话：17633641915</w:t>
            </w:r>
          </w:p>
        </w:tc>
      </w:tr>
      <w:tr>
        <w:tblPrEx>
          <w:tblLayout w:type="fixed"/>
          <w:tblCellMar>
            <w:top w:w="0" w:type="dxa"/>
            <w:left w:w="108" w:type="dxa"/>
            <w:bottom w:w="0" w:type="dxa"/>
            <w:right w:w="108" w:type="dxa"/>
          </w:tblCellMar>
        </w:tblPrEx>
        <w:trPr>
          <w:trHeight w:val="54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1.1.4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项目名称</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通许县交通运输局执法所非现场执法系统采购项目</w:t>
            </w:r>
          </w:p>
        </w:tc>
      </w:tr>
      <w:tr>
        <w:tblPrEx>
          <w:tblLayout w:type="fixed"/>
          <w:tblCellMar>
            <w:top w:w="0" w:type="dxa"/>
            <w:left w:w="108" w:type="dxa"/>
            <w:bottom w:w="0" w:type="dxa"/>
            <w:right w:w="108" w:type="dxa"/>
          </w:tblCellMar>
        </w:tblPrEx>
        <w:trPr>
          <w:trHeight w:val="37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1.1.5</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项目地点</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通许县</w:t>
            </w:r>
          </w:p>
        </w:tc>
      </w:tr>
      <w:tr>
        <w:tblPrEx>
          <w:tblLayout w:type="fixed"/>
          <w:tblCellMar>
            <w:top w:w="0" w:type="dxa"/>
            <w:left w:w="108" w:type="dxa"/>
            <w:bottom w:w="0" w:type="dxa"/>
            <w:right w:w="108" w:type="dxa"/>
          </w:tblCellMar>
        </w:tblPrEx>
        <w:trPr>
          <w:trHeight w:val="37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1.2.1</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themeColor="text1"/>
                <w:szCs w:val="21"/>
              </w:rPr>
            </w:pPr>
            <w:r>
              <w:rPr>
                <w:rFonts w:hint="eastAsia" w:ascii="宋体" w:hAnsi="宋体"/>
                <w:color w:val="000000" w:themeColor="text1"/>
                <w:szCs w:val="21"/>
              </w:rPr>
              <w:t>资金来源</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政府财政资金</w:t>
            </w:r>
          </w:p>
        </w:tc>
      </w:tr>
      <w:tr>
        <w:tblPrEx>
          <w:tblLayout w:type="fixed"/>
          <w:tblCellMar>
            <w:top w:w="0" w:type="dxa"/>
            <w:left w:w="108" w:type="dxa"/>
            <w:bottom w:w="0" w:type="dxa"/>
            <w:right w:w="108" w:type="dxa"/>
          </w:tblCellMar>
        </w:tblPrEx>
        <w:trPr>
          <w:trHeight w:val="61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1.2.2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资金落实情况</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已经落实</w:t>
            </w:r>
          </w:p>
        </w:tc>
      </w:tr>
      <w:tr>
        <w:tblPrEx>
          <w:tblLayout w:type="fixed"/>
          <w:tblCellMar>
            <w:top w:w="0" w:type="dxa"/>
            <w:left w:w="108" w:type="dxa"/>
            <w:bottom w:w="0" w:type="dxa"/>
            <w:right w:w="108" w:type="dxa"/>
          </w:tblCellMar>
        </w:tblPrEx>
        <w:trPr>
          <w:trHeight w:val="59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1.3.1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s="宋体"/>
                <w:color w:val="000000" w:themeColor="text1"/>
                <w:kern w:val="0"/>
                <w:szCs w:val="21"/>
              </w:rPr>
              <w:t>采购内容</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非现场执法检测系统设备项目（具体内容及要求详见招标文件）</w:t>
            </w:r>
          </w:p>
        </w:tc>
      </w:tr>
      <w:tr>
        <w:tblPrEx>
          <w:tblLayout w:type="fixed"/>
          <w:tblCellMar>
            <w:top w:w="0" w:type="dxa"/>
            <w:left w:w="108" w:type="dxa"/>
            <w:bottom w:w="0" w:type="dxa"/>
            <w:right w:w="108" w:type="dxa"/>
          </w:tblCellMar>
        </w:tblPrEx>
        <w:trPr>
          <w:trHeight w:val="40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1.3.2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s="宋体"/>
                <w:color w:val="000000" w:themeColor="text1"/>
                <w:szCs w:val="21"/>
              </w:rPr>
              <w:t>供货期</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双方签订合同之日起90日历天内</w:t>
            </w:r>
          </w:p>
        </w:tc>
      </w:tr>
      <w:tr>
        <w:tblPrEx>
          <w:tblLayout w:type="fixed"/>
          <w:tblCellMar>
            <w:top w:w="0" w:type="dxa"/>
            <w:left w:w="108" w:type="dxa"/>
            <w:bottom w:w="0" w:type="dxa"/>
            <w:right w:w="108" w:type="dxa"/>
          </w:tblCellMar>
        </w:tblPrEx>
        <w:trPr>
          <w:trHeight w:val="5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1.3.3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质量要求</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rPr>
              <w:t>合格</w:t>
            </w:r>
            <w:r>
              <w:rPr>
                <w:rFonts w:hint="eastAsia" w:ascii="宋体" w:hAnsi="宋体" w:cs="宋体"/>
                <w:color w:val="000000" w:themeColor="text1"/>
                <w:kern w:val="0"/>
                <w:szCs w:val="21"/>
                <w:lang w:eastAsia="zh-CN"/>
              </w:rPr>
              <w:t>，符合国家现行相关行业标准</w:t>
            </w:r>
          </w:p>
        </w:tc>
      </w:tr>
      <w:tr>
        <w:tblPrEx>
          <w:tblLayout w:type="fixed"/>
          <w:tblCellMar>
            <w:top w:w="0" w:type="dxa"/>
            <w:left w:w="108" w:type="dxa"/>
            <w:bottom w:w="0" w:type="dxa"/>
            <w:right w:w="108" w:type="dxa"/>
          </w:tblCellMar>
        </w:tblPrEx>
        <w:trPr>
          <w:trHeight w:val="539"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1.3.4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标段划分</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共一个标段</w:t>
            </w:r>
          </w:p>
        </w:tc>
      </w:tr>
      <w:tr>
        <w:tblPrEx>
          <w:tblLayout w:type="fixed"/>
          <w:tblCellMar>
            <w:top w:w="0" w:type="dxa"/>
            <w:left w:w="108" w:type="dxa"/>
            <w:bottom w:w="0" w:type="dxa"/>
            <w:right w:w="108" w:type="dxa"/>
          </w:tblCellMar>
        </w:tblPrEx>
        <w:trPr>
          <w:trHeight w:val="13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1.4.1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投标人资质条件、能力</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 xml:space="preserve">符合《中华人民共和国政府采购法》第二十二条规定和《中华人民共和国政府采购法实施条例》第十七条规定； </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（1）具备有效的营业执照（营业执照含有统一社会信用代码），具有独立完成本项目的供货和安装能力；</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（2）提供企业2015年度、2016年度、2017年度经审计的财务报告（企业成立不足三年，提供自成立以来的）；</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（3）提供企业依法缴纳税收的相关材料（近三个月）；</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（4）提供本单位拟派项目负责人针对本项目的委任书；</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（5）提供本单位拟派项目负责人及授权委托人在本单位缴纳的近三个月有效社会保险证明；</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（6）参加政府采购活动前3年内在经营活动中没有重大违法记录的书面声明；</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7）各投标人近三年内未列入失信被执行人、重大税收违法案件当事人名单、政府采购严重违法失信行为记录名单的查询截图（信用记录查询渠道：通过“信用中国”网站（www.creditchian.gov.cn）、中国政府采购网（www.ccgp.gov.cn）等渠道查询信用记录）；</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（8）单位负责人为同一人或者存在控股、管理关系的不同单位，母公司、分公司、子公司不可同时投标；</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（9）法律、行政法规规定的其他条件；</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（10）各投标人需对提供所有资料的真实性负责，提供虚假资料的视为自动放弃中标；</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（11）本次招标不接受联合体投标。</w:t>
            </w:r>
          </w:p>
        </w:tc>
      </w:tr>
      <w:tr>
        <w:tblPrEx>
          <w:tblLayout w:type="fixed"/>
          <w:tblCellMar>
            <w:top w:w="0" w:type="dxa"/>
            <w:left w:w="108" w:type="dxa"/>
            <w:bottom w:w="0" w:type="dxa"/>
            <w:right w:w="108" w:type="dxa"/>
          </w:tblCellMar>
        </w:tblPrEx>
        <w:trPr>
          <w:trHeight w:val="54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1.12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踏勘现场</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hint="eastAsia" w:ascii="宋体" w:hAnsi="宋体"/>
                <w:color w:val="000000" w:themeColor="text1"/>
                <w:szCs w:val="21"/>
              </w:rPr>
              <w:t>不组织</w:t>
            </w:r>
          </w:p>
        </w:tc>
      </w:tr>
      <w:tr>
        <w:tblPrEx>
          <w:tblLayout w:type="fixed"/>
          <w:tblCellMar>
            <w:top w:w="0" w:type="dxa"/>
            <w:left w:w="108" w:type="dxa"/>
            <w:bottom w:w="0" w:type="dxa"/>
            <w:right w:w="108" w:type="dxa"/>
          </w:tblCellMar>
        </w:tblPrEx>
        <w:trPr>
          <w:trHeight w:val="627"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1.1</w:t>
            </w:r>
            <w:r>
              <w:rPr>
                <w:rFonts w:hint="eastAsia" w:ascii="宋体" w:hAnsi="宋体" w:cs="宋体"/>
                <w:color w:val="000000" w:themeColor="text1"/>
                <w:kern w:val="0"/>
                <w:szCs w:val="21"/>
              </w:rPr>
              <w:t>1</w:t>
            </w:r>
            <w:r>
              <w:rPr>
                <w:rFonts w:ascii="宋体" w:hAnsi="宋体" w:cs="宋体"/>
                <w:color w:val="000000" w:themeColor="text1"/>
                <w:kern w:val="0"/>
                <w:szCs w:val="21"/>
              </w:rPr>
              <w:t>.1</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投标预备会</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不召开</w:t>
            </w:r>
          </w:p>
        </w:tc>
      </w:tr>
      <w:tr>
        <w:tblPrEx>
          <w:tblLayout w:type="fixed"/>
          <w:tblCellMar>
            <w:top w:w="0" w:type="dxa"/>
            <w:left w:w="108" w:type="dxa"/>
            <w:bottom w:w="0" w:type="dxa"/>
            <w:right w:w="108" w:type="dxa"/>
          </w:tblCellMar>
        </w:tblPrEx>
        <w:trPr>
          <w:trHeight w:val="428"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1.1</w:t>
            </w:r>
            <w:r>
              <w:rPr>
                <w:rFonts w:hint="eastAsia" w:ascii="宋体" w:hAnsi="宋体" w:cs="宋体"/>
                <w:color w:val="000000" w:themeColor="text1"/>
                <w:kern w:val="0"/>
                <w:szCs w:val="21"/>
              </w:rPr>
              <w:t>1</w:t>
            </w:r>
            <w:r>
              <w:rPr>
                <w:rFonts w:ascii="宋体" w:hAnsi="宋体" w:cs="宋体"/>
                <w:color w:val="000000" w:themeColor="text1"/>
                <w:kern w:val="0"/>
                <w:szCs w:val="21"/>
              </w:rPr>
              <w:t>.</w:t>
            </w:r>
            <w:r>
              <w:rPr>
                <w:rFonts w:hint="eastAsia" w:ascii="宋体" w:hAnsi="宋体" w:cs="宋体"/>
                <w:color w:val="000000" w:themeColor="text1"/>
                <w:kern w:val="0"/>
                <w:szCs w:val="21"/>
              </w:rPr>
              <w:t>3</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投标人提出问题的截止时间</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递交投标文件的截止之日</w:t>
            </w:r>
            <w:r>
              <w:rPr>
                <w:rFonts w:ascii="宋体" w:hAnsi="宋体" w:cs="宋体"/>
                <w:color w:val="000000" w:themeColor="text1"/>
                <w:kern w:val="0"/>
                <w:szCs w:val="21"/>
              </w:rPr>
              <w:t>10</w:t>
            </w:r>
            <w:r>
              <w:rPr>
                <w:rFonts w:hint="eastAsia" w:ascii="宋体" w:hAnsi="宋体" w:cs="宋体"/>
                <w:color w:val="000000" w:themeColor="text1"/>
                <w:kern w:val="0"/>
                <w:szCs w:val="21"/>
              </w:rPr>
              <w:t>日前</w:t>
            </w:r>
          </w:p>
        </w:tc>
      </w:tr>
      <w:tr>
        <w:tblPrEx>
          <w:tblLayout w:type="fixed"/>
          <w:tblCellMar>
            <w:top w:w="0" w:type="dxa"/>
            <w:left w:w="108" w:type="dxa"/>
            <w:bottom w:w="0" w:type="dxa"/>
            <w:right w:w="108" w:type="dxa"/>
          </w:tblCellMar>
        </w:tblPrEx>
        <w:trPr>
          <w:trHeight w:val="580"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1.1</w:t>
            </w:r>
            <w:r>
              <w:rPr>
                <w:rFonts w:hint="eastAsia" w:ascii="宋体" w:hAnsi="宋体" w:cs="宋体"/>
                <w:color w:val="000000" w:themeColor="text1"/>
                <w:kern w:val="0"/>
                <w:szCs w:val="21"/>
              </w:rPr>
              <w:t>2</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分包</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不允许</w:t>
            </w:r>
          </w:p>
        </w:tc>
      </w:tr>
      <w:tr>
        <w:tblPrEx>
          <w:tblLayout w:type="fixed"/>
          <w:tblCellMar>
            <w:top w:w="0" w:type="dxa"/>
            <w:left w:w="108" w:type="dxa"/>
            <w:bottom w:w="0" w:type="dxa"/>
            <w:right w:w="108" w:type="dxa"/>
          </w:tblCellMar>
        </w:tblPrEx>
        <w:trPr>
          <w:trHeight w:val="137"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2.1</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构成招标文件的其他材料</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招标文件的补充文件、投标答疑纪要、拦标价通知书等（如有）</w:t>
            </w:r>
          </w:p>
        </w:tc>
      </w:tr>
      <w:tr>
        <w:tblPrEx>
          <w:tblLayout w:type="fixed"/>
          <w:tblCellMar>
            <w:top w:w="0" w:type="dxa"/>
            <w:left w:w="108" w:type="dxa"/>
            <w:bottom w:w="0" w:type="dxa"/>
            <w:right w:w="108" w:type="dxa"/>
          </w:tblCellMar>
        </w:tblPrEx>
        <w:trPr>
          <w:trHeight w:val="137"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2.2.1</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投标人要求澄清招标文件的截止时间</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递交投标文件截止之日</w:t>
            </w:r>
            <w:r>
              <w:rPr>
                <w:rFonts w:ascii="宋体" w:hAnsi="宋体" w:cs="宋体"/>
                <w:color w:val="000000" w:themeColor="text1"/>
                <w:kern w:val="0"/>
                <w:szCs w:val="21"/>
              </w:rPr>
              <w:t>1</w:t>
            </w:r>
            <w:r>
              <w:rPr>
                <w:rFonts w:hint="eastAsia" w:ascii="宋体" w:hAnsi="宋体" w:cs="宋体"/>
                <w:color w:val="000000" w:themeColor="text1"/>
                <w:kern w:val="0"/>
                <w:szCs w:val="21"/>
              </w:rPr>
              <w:t>0日前，投标人以书面形式将需要澄清和解答的问题书面形式送达代理机构，并打电话通知。</w:t>
            </w:r>
          </w:p>
        </w:tc>
      </w:tr>
      <w:tr>
        <w:tblPrEx>
          <w:tblLayout w:type="fixed"/>
          <w:tblCellMar>
            <w:top w:w="0" w:type="dxa"/>
            <w:left w:w="108" w:type="dxa"/>
            <w:bottom w:w="0" w:type="dxa"/>
            <w:right w:w="108" w:type="dxa"/>
          </w:tblCellMar>
        </w:tblPrEx>
        <w:trPr>
          <w:trHeight w:val="721"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2.2.2</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采购人书面澄清与修改的时间</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递交投标文件的截止之日</w:t>
            </w:r>
            <w:r>
              <w:rPr>
                <w:rFonts w:ascii="宋体" w:hAnsi="宋体" w:cs="宋体"/>
                <w:color w:val="000000" w:themeColor="text1"/>
                <w:kern w:val="0"/>
                <w:szCs w:val="21"/>
              </w:rPr>
              <w:t>15</w:t>
            </w:r>
            <w:r>
              <w:rPr>
                <w:rFonts w:hint="eastAsia" w:ascii="宋体" w:hAnsi="宋体" w:cs="宋体"/>
                <w:color w:val="000000" w:themeColor="text1"/>
                <w:kern w:val="0"/>
                <w:szCs w:val="21"/>
              </w:rPr>
              <w:t>日前</w:t>
            </w:r>
          </w:p>
        </w:tc>
      </w:tr>
      <w:tr>
        <w:tblPrEx>
          <w:tblLayout w:type="fixed"/>
          <w:tblCellMar>
            <w:top w:w="0" w:type="dxa"/>
            <w:left w:w="108" w:type="dxa"/>
            <w:bottom w:w="0" w:type="dxa"/>
            <w:right w:w="108" w:type="dxa"/>
          </w:tblCellMar>
        </w:tblPrEx>
        <w:trPr>
          <w:trHeight w:val="518"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2.2.3</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投标人确认收到招标文件澄清与修改的时间</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hint="eastAsia" w:ascii="宋体" w:hAnsi="宋体" w:cs="宋体"/>
                <w:color w:val="000000" w:themeColor="text1"/>
                <w:kern w:val="0"/>
                <w:szCs w:val="21"/>
              </w:rPr>
              <w:t>收到澄清或修改后的</w:t>
            </w:r>
            <w:r>
              <w:rPr>
                <w:rFonts w:ascii="宋体" w:hAnsi="宋体" w:cs="宋体"/>
                <w:color w:val="000000" w:themeColor="text1"/>
                <w:kern w:val="0"/>
                <w:szCs w:val="21"/>
              </w:rPr>
              <w:t>24</w:t>
            </w:r>
            <w:r>
              <w:rPr>
                <w:rFonts w:hint="eastAsia" w:ascii="宋体" w:hAnsi="宋体" w:cs="宋体"/>
                <w:color w:val="000000" w:themeColor="text1"/>
                <w:kern w:val="0"/>
                <w:szCs w:val="21"/>
              </w:rPr>
              <w:t>小时（以发出时间为准）</w:t>
            </w:r>
          </w:p>
        </w:tc>
      </w:tr>
      <w:tr>
        <w:tblPrEx>
          <w:tblLayout w:type="fixed"/>
          <w:tblCellMar>
            <w:top w:w="0" w:type="dxa"/>
            <w:left w:w="108" w:type="dxa"/>
            <w:bottom w:w="0" w:type="dxa"/>
            <w:right w:w="108" w:type="dxa"/>
          </w:tblCellMar>
        </w:tblPrEx>
        <w:trPr>
          <w:trHeight w:val="637" w:hRule="atLeast"/>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themeColor="text1"/>
                <w:kern w:val="0"/>
                <w:szCs w:val="21"/>
              </w:rPr>
            </w:pPr>
            <w:r>
              <w:rPr>
                <w:rFonts w:ascii="宋体" w:hAnsi="宋体" w:cs="宋体"/>
                <w:color w:val="000000" w:themeColor="text1"/>
                <w:kern w:val="0"/>
                <w:szCs w:val="21"/>
              </w:rPr>
              <w:t>3.4.1</w:t>
            </w:r>
          </w:p>
        </w:tc>
        <w:tc>
          <w:tcPr>
            <w:tcW w:w="216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cs="宋体"/>
                <w:color w:val="000000" w:themeColor="text1"/>
                <w:kern w:val="0"/>
                <w:szCs w:val="21"/>
              </w:rPr>
            </w:pPr>
            <w:r>
              <w:rPr>
                <w:rFonts w:hint="eastAsia" w:ascii="宋体" w:hAnsi="宋体" w:cs="宋体"/>
                <w:color w:val="000000" w:themeColor="text1"/>
                <w:kern w:val="0"/>
                <w:szCs w:val="21"/>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cs="宋体"/>
                <w:color w:val="000000" w:themeColor="text1"/>
                <w:kern w:val="0"/>
                <w:szCs w:val="21"/>
              </w:rPr>
            </w:pPr>
            <w:r>
              <w:rPr>
                <w:rFonts w:ascii="宋体" w:hAnsi="宋体" w:cs="宋体"/>
                <w:color w:val="000000" w:themeColor="text1"/>
                <w:kern w:val="0"/>
                <w:szCs w:val="21"/>
              </w:rPr>
              <w:t>60</w:t>
            </w:r>
            <w:r>
              <w:rPr>
                <w:rFonts w:hint="eastAsia" w:ascii="宋体" w:hAnsi="宋体" w:cs="宋体"/>
                <w:color w:val="000000" w:themeColor="text1"/>
                <w:kern w:val="0"/>
                <w:szCs w:val="21"/>
              </w:rPr>
              <w:t>日历天（投标人提交投标文件截止之日起计算）</w:t>
            </w:r>
          </w:p>
        </w:tc>
      </w:tr>
      <w:tr>
        <w:tblPrEx>
          <w:tblLayout w:type="fixed"/>
          <w:tblCellMar>
            <w:top w:w="0" w:type="dxa"/>
            <w:left w:w="108" w:type="dxa"/>
            <w:bottom w:w="0" w:type="dxa"/>
            <w:right w:w="108" w:type="dxa"/>
          </w:tblCellMar>
        </w:tblPrEx>
        <w:trPr>
          <w:trHeight w:val="9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3.5.1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rPr>
              <w:t>投标保证金</w:t>
            </w:r>
          </w:p>
        </w:tc>
        <w:tc>
          <w:tcPr>
            <w:tcW w:w="648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1、投标保证金形式：转账、电汇。</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2、投标人应在递交投标文件前提交投标保证金,并作为其投标文件的一部分；保证金的数额一般不超过预算金额的2%；</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本次投标保证金金额：壹万元</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3、投标人以转账、电汇形式提交投标保证金的，需在投标截止时间前转入通许县公共资源交易中心指定账户，以实际到账为准。持转账回单到通许县公共资源交易中心有限公司大厅财务窗口换取收据证明。</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户    名：通许县公共资源交易中心有限公司</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开户银行： 河南通许农商银行股份有限公司（行号：402492201014）</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银行帐号：00000169499550332012</w:t>
            </w:r>
          </w:p>
          <w:p>
            <w:pPr>
              <w:widowControl/>
              <w:spacing w:line="440" w:lineRule="exact"/>
              <w:rPr>
                <w:rFonts w:hint="eastAsia" w:ascii="宋体" w:hAnsi="宋体" w:cs="宋体"/>
                <w:color w:val="000000" w:themeColor="text1"/>
                <w:kern w:val="0"/>
                <w:szCs w:val="21"/>
              </w:rPr>
            </w:pPr>
            <w:r>
              <w:rPr>
                <w:rFonts w:hint="eastAsia" w:ascii="宋体" w:hAnsi="宋体" w:cs="宋体"/>
                <w:color w:val="000000" w:themeColor="text1"/>
                <w:kern w:val="0"/>
                <w:szCs w:val="21"/>
              </w:rPr>
              <w:t>财务电话：0371-22305012</w:t>
            </w:r>
          </w:p>
          <w:p>
            <w:pPr>
              <w:widowControl/>
              <w:spacing w:line="440" w:lineRule="exact"/>
              <w:rPr>
                <w:rFonts w:ascii="宋体"/>
                <w:color w:val="000000" w:themeColor="text1"/>
                <w:sz w:val="28"/>
                <w:szCs w:val="28"/>
              </w:rPr>
            </w:pPr>
            <w:r>
              <w:rPr>
                <w:rFonts w:hint="eastAsia" w:ascii="宋体" w:hAnsi="宋体" w:cs="宋体"/>
                <w:color w:val="000000" w:themeColor="text1"/>
                <w:kern w:val="0"/>
                <w:szCs w:val="21"/>
              </w:rPr>
              <w:t>4、采购人应当自中标通知书发出之日起5个工作日内退还未中标投标人的投标保证金，自政府采购合同签订之日起5个工作日内退还中标投标人的投标保证金。</w:t>
            </w:r>
          </w:p>
        </w:tc>
      </w:tr>
      <w:tr>
        <w:tblPrEx>
          <w:tblLayout w:type="fixed"/>
          <w:tblCellMar>
            <w:top w:w="0" w:type="dxa"/>
            <w:left w:w="108" w:type="dxa"/>
            <w:bottom w:w="0" w:type="dxa"/>
            <w:right w:w="108" w:type="dxa"/>
          </w:tblCellMar>
        </w:tblPrEx>
        <w:trPr>
          <w:trHeight w:val="64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themeColor="text1"/>
                <w:szCs w:val="21"/>
              </w:rPr>
            </w:pPr>
            <w:r>
              <w:rPr>
                <w:rFonts w:ascii="宋体" w:hAnsi="宋体"/>
                <w:color w:val="000000" w:themeColor="text1"/>
                <w:szCs w:val="21"/>
              </w:rPr>
              <w:t>3.6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是否允许递交备选投标方案</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不允许</w:t>
            </w:r>
          </w:p>
        </w:tc>
      </w:tr>
      <w:tr>
        <w:tblPrEx>
          <w:tblLayout w:type="fixed"/>
          <w:tblCellMar>
            <w:top w:w="0" w:type="dxa"/>
            <w:left w:w="108" w:type="dxa"/>
            <w:bottom w:w="0" w:type="dxa"/>
            <w:right w:w="108" w:type="dxa"/>
          </w:tblCellMar>
        </w:tblPrEx>
        <w:trPr>
          <w:trHeight w:val="525"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3.7.3</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投标文件份数</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投标文件份数：正本一份、副本四份；正、副本不一致时，以正本为准；电子版份数：电子版</w:t>
            </w:r>
            <w:r>
              <w:rPr>
                <w:rFonts w:ascii="宋体" w:hAnsi="宋体"/>
                <w:color w:val="000000" w:themeColor="text1"/>
                <w:szCs w:val="21"/>
              </w:rPr>
              <w:t>1</w:t>
            </w:r>
            <w:r>
              <w:rPr>
                <w:rFonts w:hint="eastAsia" w:ascii="宋体" w:hAnsi="宋体"/>
                <w:color w:val="000000" w:themeColor="text1"/>
                <w:szCs w:val="21"/>
              </w:rPr>
              <w:t>套（</w:t>
            </w:r>
            <w:r>
              <w:rPr>
                <w:rFonts w:ascii="宋体" w:hAnsi="宋体"/>
                <w:color w:val="000000" w:themeColor="text1"/>
                <w:szCs w:val="21"/>
              </w:rPr>
              <w:t>U</w:t>
            </w:r>
            <w:r>
              <w:rPr>
                <w:rFonts w:hint="eastAsia" w:ascii="宋体" w:hAnsi="宋体"/>
                <w:color w:val="000000" w:themeColor="text1"/>
                <w:szCs w:val="21"/>
              </w:rPr>
              <w:t>盘，能够正常使用）。</w:t>
            </w:r>
          </w:p>
        </w:tc>
      </w:tr>
      <w:tr>
        <w:tblPrEx>
          <w:tblLayout w:type="fixed"/>
          <w:tblCellMar>
            <w:top w:w="0" w:type="dxa"/>
            <w:left w:w="108" w:type="dxa"/>
            <w:bottom w:w="0" w:type="dxa"/>
            <w:right w:w="108" w:type="dxa"/>
          </w:tblCellMar>
        </w:tblPrEx>
        <w:trPr>
          <w:trHeight w:val="42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3.7.4</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签字或盖章要求</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按招标文件规定应加盖公章的证明材料必须加盖投标人公章，要求签署姓名的应由投标人的法定代表人或其委托代理人亲笔签署姓名。</w:t>
            </w:r>
          </w:p>
        </w:tc>
      </w:tr>
      <w:tr>
        <w:tblPrEx>
          <w:tblLayout w:type="fixed"/>
          <w:tblCellMar>
            <w:top w:w="0" w:type="dxa"/>
            <w:left w:w="108" w:type="dxa"/>
            <w:bottom w:w="0" w:type="dxa"/>
            <w:right w:w="108" w:type="dxa"/>
          </w:tblCellMar>
        </w:tblPrEx>
        <w:trPr>
          <w:trHeight w:val="1143"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3.7.6</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装订要求</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投标文件正、副本分别胶装成册，编制目录并标注连续页码，装订应牢固、不易拆散和换页，不得采用活页装订</w:t>
            </w:r>
          </w:p>
        </w:tc>
      </w:tr>
      <w:tr>
        <w:tblPrEx>
          <w:tblLayout w:type="fixed"/>
          <w:tblCellMar>
            <w:top w:w="0" w:type="dxa"/>
            <w:left w:w="108" w:type="dxa"/>
            <w:bottom w:w="0" w:type="dxa"/>
            <w:right w:w="108" w:type="dxa"/>
          </w:tblCellMar>
        </w:tblPrEx>
        <w:trPr>
          <w:trHeight w:val="114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4.1.1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密封要求</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包装袋开口处必须密封，封套上注明正本或副本或电子版，正本、副本、电子版应分开包装三个包封，并在封口处加盖投标单位公章。</w:t>
            </w:r>
          </w:p>
        </w:tc>
      </w:tr>
      <w:tr>
        <w:tblPrEx>
          <w:tblLayout w:type="fixed"/>
          <w:tblCellMar>
            <w:top w:w="0" w:type="dxa"/>
            <w:left w:w="108" w:type="dxa"/>
            <w:bottom w:w="0" w:type="dxa"/>
            <w:right w:w="108" w:type="dxa"/>
          </w:tblCellMar>
        </w:tblPrEx>
        <w:trPr>
          <w:trHeight w:val="2241" w:hRule="atLeast"/>
        </w:trPr>
        <w:tc>
          <w:tcPr>
            <w:tcW w:w="10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ascii="宋体" w:hAnsi="宋体"/>
                <w:color w:val="000000" w:themeColor="text1"/>
                <w:szCs w:val="21"/>
              </w:rPr>
              <w:t>4.1.2</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themeColor="text1"/>
                <w:szCs w:val="21"/>
              </w:rPr>
            </w:pPr>
            <w:r>
              <w:rPr>
                <w:rFonts w:hint="eastAsia" w:ascii="宋体" w:hAnsi="宋体"/>
                <w:color w:val="000000" w:themeColor="text1"/>
                <w:szCs w:val="21"/>
              </w:rPr>
              <w:t>封套上写明</w:t>
            </w:r>
          </w:p>
        </w:tc>
        <w:tc>
          <w:tcPr>
            <w:tcW w:w="6480" w:type="dxa"/>
            <w:tcBorders>
              <w:top w:val="single" w:color="auto" w:sz="4" w:space="0"/>
              <w:left w:val="single" w:color="auto" w:sz="4" w:space="0"/>
              <w:bottom w:val="single" w:color="auto" w:sz="4" w:space="0"/>
              <w:right w:val="single" w:color="auto" w:sz="4" w:space="0"/>
            </w:tcBorders>
            <w:vAlign w:val="center"/>
          </w:tcPr>
          <w:p>
            <w:pPr>
              <w:rPr>
                <w:rFonts w:ascii="宋体" w:cs="宋体"/>
                <w:bCs/>
                <w:color w:val="000000" w:themeColor="text1"/>
                <w:sz w:val="24"/>
              </w:rPr>
            </w:pPr>
            <w:r>
              <w:rPr>
                <w:rFonts w:hint="eastAsia" w:ascii="宋体" w:hAnsi="宋体"/>
                <w:color w:val="000000" w:themeColor="text1"/>
                <w:szCs w:val="21"/>
              </w:rPr>
              <w:t>（正本</w:t>
            </w:r>
            <w:r>
              <w:rPr>
                <w:rFonts w:ascii="宋体" w:hAnsi="宋体"/>
                <w:color w:val="000000" w:themeColor="text1"/>
                <w:szCs w:val="21"/>
              </w:rPr>
              <w:t>/</w:t>
            </w:r>
            <w:r>
              <w:rPr>
                <w:rFonts w:hint="eastAsia" w:ascii="宋体" w:hAnsi="宋体"/>
                <w:color w:val="000000" w:themeColor="text1"/>
                <w:szCs w:val="21"/>
              </w:rPr>
              <w:t>副本</w:t>
            </w:r>
            <w:r>
              <w:rPr>
                <w:rFonts w:ascii="宋体" w:hAnsi="宋体"/>
                <w:color w:val="000000" w:themeColor="text1"/>
                <w:szCs w:val="21"/>
              </w:rPr>
              <w:t>/</w:t>
            </w:r>
            <w:r>
              <w:rPr>
                <w:rFonts w:hint="eastAsia" w:ascii="宋体" w:hAnsi="宋体"/>
                <w:color w:val="000000" w:themeColor="text1"/>
                <w:szCs w:val="21"/>
              </w:rPr>
              <w:t>电子版）</w:t>
            </w:r>
          </w:p>
          <w:p>
            <w:pPr>
              <w:rPr>
                <w:rFonts w:ascii="宋体" w:cs="宋体"/>
                <w:color w:val="000000" w:themeColor="text1"/>
                <w:sz w:val="24"/>
              </w:rPr>
            </w:pPr>
            <w:r>
              <w:rPr>
                <w:rFonts w:hint="eastAsia" w:ascii="宋体" w:hAnsi="宋体"/>
                <w:color w:val="000000" w:themeColor="text1"/>
                <w:szCs w:val="21"/>
              </w:rPr>
              <w:t>采购人名称：</w:t>
            </w:r>
          </w:p>
          <w:p>
            <w:pPr>
              <w:rPr>
                <w:rFonts w:ascii="宋体"/>
                <w:color w:val="000000" w:themeColor="text1"/>
                <w:szCs w:val="21"/>
              </w:rPr>
            </w:pPr>
            <w:r>
              <w:rPr>
                <w:rFonts w:hint="eastAsia" w:ascii="宋体" w:hAnsi="宋体"/>
                <w:color w:val="000000" w:themeColor="text1"/>
                <w:szCs w:val="21"/>
                <w:u w:val="single"/>
              </w:rPr>
              <w:t>（项目名称）</w:t>
            </w:r>
            <w:r>
              <w:rPr>
                <w:rFonts w:hint="eastAsia" w:ascii="宋体" w:hAnsi="宋体"/>
                <w:color w:val="000000" w:themeColor="text1"/>
                <w:szCs w:val="21"/>
              </w:rPr>
              <w:t>投标文件</w:t>
            </w:r>
          </w:p>
          <w:p>
            <w:pPr>
              <w:rPr>
                <w:rFonts w:ascii="宋体"/>
                <w:color w:val="000000" w:themeColor="text1"/>
                <w:szCs w:val="21"/>
                <w:u w:val="single"/>
              </w:rPr>
            </w:pPr>
            <w:r>
              <w:rPr>
                <w:rFonts w:hint="eastAsia" w:ascii="宋体" w:hAnsi="宋体"/>
                <w:color w:val="000000" w:themeColor="text1"/>
                <w:szCs w:val="21"/>
              </w:rPr>
              <w:t>投标人名称：</w:t>
            </w:r>
            <w:r>
              <w:rPr>
                <w:rFonts w:hint="eastAsia" w:ascii="宋体" w:hAnsi="宋体"/>
                <w:color w:val="000000" w:themeColor="text1"/>
                <w:szCs w:val="21"/>
                <w:u w:val="single"/>
              </w:rPr>
              <w:t>（盖章）</w:t>
            </w:r>
          </w:p>
          <w:p>
            <w:pPr>
              <w:rPr>
                <w:rFonts w:ascii="宋体" w:cs="宋体"/>
                <w:color w:val="000000" w:themeColor="text1"/>
                <w:sz w:val="24"/>
              </w:rPr>
            </w:pPr>
            <w:r>
              <w:rPr>
                <w:rFonts w:hint="eastAsia" w:ascii="宋体" w:hAnsi="宋体"/>
                <w:color w:val="000000" w:themeColor="text1"/>
                <w:szCs w:val="21"/>
              </w:rPr>
              <w:t>公司地址：</w:t>
            </w:r>
          </w:p>
          <w:p>
            <w:pPr>
              <w:rPr>
                <w:rFonts w:ascii="宋体"/>
                <w:color w:val="000000" w:themeColor="text1"/>
                <w:szCs w:val="21"/>
              </w:rPr>
            </w:pPr>
            <w:r>
              <w:rPr>
                <w:rFonts w:hint="eastAsia" w:ascii="宋体" w:hAnsi="宋体"/>
                <w:color w:val="000000" w:themeColor="text1"/>
                <w:szCs w:val="21"/>
              </w:rPr>
              <w:t>在</w:t>
            </w:r>
            <w:r>
              <w:rPr>
                <w:rFonts w:ascii="宋体" w:hAnsi="宋体"/>
                <w:color w:val="000000" w:themeColor="text1"/>
                <w:szCs w:val="21"/>
              </w:rPr>
              <w:t>201</w:t>
            </w:r>
            <w:r>
              <w:rPr>
                <w:rFonts w:hint="eastAsia" w:ascii="宋体" w:hAnsi="宋体"/>
                <w:color w:val="000000" w:themeColor="text1"/>
                <w:szCs w:val="21"/>
              </w:rPr>
              <w:t>9年   月   日  时  分（开标时间）前不得开启</w:t>
            </w:r>
          </w:p>
        </w:tc>
      </w:tr>
      <w:tr>
        <w:tblPrEx>
          <w:tblLayout w:type="fixed"/>
          <w:tblCellMar>
            <w:top w:w="0" w:type="dxa"/>
            <w:left w:w="108" w:type="dxa"/>
            <w:bottom w:w="0" w:type="dxa"/>
            <w:right w:w="108" w:type="dxa"/>
          </w:tblCellMar>
        </w:tblPrEx>
        <w:trPr>
          <w:trHeight w:val="778"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4.2.1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递交投标文件截止时间</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ascii="宋体" w:hAnsi="宋体"/>
                <w:color w:val="000000" w:themeColor="text1"/>
                <w:szCs w:val="21"/>
              </w:rPr>
              <w:t>201</w:t>
            </w:r>
            <w:r>
              <w:rPr>
                <w:rFonts w:hint="eastAsia" w:ascii="宋体" w:hAnsi="宋体"/>
                <w:color w:val="000000" w:themeColor="text1"/>
                <w:szCs w:val="21"/>
              </w:rPr>
              <w:t>9年</w:t>
            </w:r>
            <w:r>
              <w:rPr>
                <w:rFonts w:hint="eastAsia" w:ascii="宋体" w:hAnsi="宋体"/>
                <w:color w:val="000000" w:themeColor="text1"/>
                <w:szCs w:val="21"/>
                <w:lang w:val="en-US" w:eastAsia="zh-CN"/>
              </w:rPr>
              <w:t>3</w:t>
            </w:r>
            <w:r>
              <w:rPr>
                <w:rFonts w:hint="eastAsia" w:ascii="宋体" w:hAnsi="宋体"/>
                <w:color w:val="000000" w:themeColor="text1"/>
                <w:szCs w:val="21"/>
              </w:rPr>
              <w:t>月</w:t>
            </w:r>
            <w:r>
              <w:rPr>
                <w:rFonts w:hint="eastAsia" w:ascii="宋体" w:hAnsi="宋体"/>
                <w:color w:val="000000" w:themeColor="text1"/>
                <w:szCs w:val="21"/>
                <w:lang w:val="en-US" w:eastAsia="zh-CN"/>
              </w:rPr>
              <w:t>27</w:t>
            </w:r>
            <w:r>
              <w:rPr>
                <w:rFonts w:hint="eastAsia" w:ascii="宋体" w:hAnsi="宋体"/>
                <w:color w:val="000000" w:themeColor="text1"/>
                <w:szCs w:val="21"/>
              </w:rPr>
              <w:t>日</w:t>
            </w:r>
            <w:r>
              <w:rPr>
                <w:rFonts w:hint="eastAsia" w:ascii="宋体" w:hAnsi="宋体"/>
                <w:color w:val="000000" w:themeColor="text1"/>
                <w:szCs w:val="21"/>
                <w:lang w:val="en-US" w:eastAsia="zh-CN"/>
              </w:rPr>
              <w:t>9</w:t>
            </w:r>
            <w:r>
              <w:rPr>
                <w:rFonts w:hint="eastAsia" w:ascii="宋体" w:hAnsi="宋体"/>
                <w:color w:val="000000" w:themeColor="text1"/>
                <w:szCs w:val="21"/>
              </w:rPr>
              <w:t>时</w:t>
            </w:r>
            <w:r>
              <w:rPr>
                <w:rFonts w:hint="eastAsia" w:ascii="宋体" w:hAnsi="宋体"/>
                <w:color w:val="000000" w:themeColor="text1"/>
                <w:szCs w:val="21"/>
                <w:lang w:val="en-US" w:eastAsia="zh-CN"/>
              </w:rPr>
              <w:t>30</w:t>
            </w:r>
            <w:r>
              <w:rPr>
                <w:rFonts w:hint="eastAsia" w:ascii="宋体" w:hAnsi="宋体"/>
                <w:color w:val="000000" w:themeColor="text1"/>
                <w:szCs w:val="21"/>
              </w:rPr>
              <w:t>分</w:t>
            </w:r>
            <w:r>
              <w:rPr>
                <w:rFonts w:hint="eastAsia" w:ascii="宋体" w:hAnsi="宋体" w:cs="宋体"/>
                <w:bCs/>
                <w:color w:val="000000" w:themeColor="text1"/>
                <w:sz w:val="24"/>
              </w:rPr>
              <w:t>（北京时间）</w:t>
            </w:r>
          </w:p>
        </w:tc>
      </w:tr>
      <w:tr>
        <w:tblPrEx>
          <w:tblLayout w:type="fixed"/>
          <w:tblCellMar>
            <w:top w:w="0" w:type="dxa"/>
            <w:left w:w="108" w:type="dxa"/>
            <w:bottom w:w="0" w:type="dxa"/>
            <w:right w:w="108" w:type="dxa"/>
          </w:tblCellMar>
        </w:tblPrEx>
        <w:trPr>
          <w:trHeight w:val="68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4.2.2</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递交投标文件地点</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color w:val="000000" w:themeColor="text1"/>
                <w:szCs w:val="21"/>
              </w:rPr>
              <w:t>通许县公共资源交易中心二楼</w:t>
            </w:r>
            <w:r>
              <w:rPr>
                <w:rFonts w:hint="eastAsia" w:ascii="宋体"/>
                <w:color w:val="000000" w:themeColor="text1"/>
                <w:szCs w:val="21"/>
                <w:lang w:eastAsia="zh-CN"/>
              </w:rPr>
              <w:t>第一</w:t>
            </w:r>
            <w:r>
              <w:rPr>
                <w:rFonts w:hint="eastAsia" w:ascii="宋体"/>
                <w:color w:val="000000" w:themeColor="text1"/>
                <w:szCs w:val="21"/>
              </w:rPr>
              <w:t>开标室</w:t>
            </w:r>
          </w:p>
        </w:tc>
      </w:tr>
      <w:tr>
        <w:tblPrEx>
          <w:tblLayout w:type="fixed"/>
          <w:tblCellMar>
            <w:top w:w="0" w:type="dxa"/>
            <w:left w:w="108" w:type="dxa"/>
            <w:bottom w:w="0" w:type="dxa"/>
            <w:right w:w="108" w:type="dxa"/>
          </w:tblCellMar>
        </w:tblPrEx>
        <w:trPr>
          <w:trHeight w:val="664" w:hRule="atLeast"/>
        </w:trPr>
        <w:tc>
          <w:tcPr>
            <w:tcW w:w="102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4.2.3</w:t>
            </w:r>
          </w:p>
        </w:tc>
        <w:tc>
          <w:tcPr>
            <w:tcW w:w="2160" w:type="dxa"/>
            <w:tcBorders>
              <w:top w:val="single" w:color="auto" w:sz="4" w:space="0"/>
              <w:left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是否退还投标文件</w:t>
            </w:r>
          </w:p>
        </w:tc>
        <w:tc>
          <w:tcPr>
            <w:tcW w:w="6480" w:type="dxa"/>
            <w:tcBorders>
              <w:top w:val="single" w:color="auto" w:sz="4" w:space="0"/>
              <w:left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否</w:t>
            </w:r>
          </w:p>
        </w:tc>
      </w:tr>
      <w:tr>
        <w:tblPrEx>
          <w:tblLayout w:type="fixed"/>
          <w:tblCellMar>
            <w:top w:w="0" w:type="dxa"/>
            <w:left w:w="108" w:type="dxa"/>
            <w:bottom w:w="0" w:type="dxa"/>
            <w:right w:w="108" w:type="dxa"/>
          </w:tblCellMar>
        </w:tblPrEx>
        <w:trPr>
          <w:trHeight w:val="894" w:hRule="atLeast"/>
        </w:trPr>
        <w:tc>
          <w:tcPr>
            <w:tcW w:w="102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5.1.1</w:t>
            </w:r>
          </w:p>
        </w:tc>
        <w:tc>
          <w:tcPr>
            <w:tcW w:w="2160" w:type="dxa"/>
            <w:tcBorders>
              <w:top w:val="single" w:color="auto" w:sz="4" w:space="0"/>
              <w:left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开标时间和地点</w:t>
            </w:r>
          </w:p>
        </w:tc>
        <w:tc>
          <w:tcPr>
            <w:tcW w:w="6480" w:type="dxa"/>
            <w:tcBorders>
              <w:top w:val="single" w:color="auto" w:sz="4" w:space="0"/>
              <w:left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开标时间：同投标截止时间</w:t>
            </w:r>
          </w:p>
          <w:p>
            <w:pPr>
              <w:spacing w:line="360" w:lineRule="auto"/>
              <w:rPr>
                <w:rFonts w:ascii="宋体"/>
                <w:color w:val="000000" w:themeColor="text1"/>
                <w:szCs w:val="21"/>
              </w:rPr>
            </w:pPr>
            <w:r>
              <w:rPr>
                <w:rFonts w:hint="eastAsia" w:ascii="宋体" w:hAnsi="宋体"/>
                <w:color w:val="000000" w:themeColor="text1"/>
                <w:szCs w:val="21"/>
              </w:rPr>
              <w:t>开标地点：同递交投标文件地点</w:t>
            </w:r>
          </w:p>
        </w:tc>
      </w:tr>
      <w:tr>
        <w:tblPrEx>
          <w:tblLayout w:type="fixed"/>
          <w:tblCellMar>
            <w:top w:w="0" w:type="dxa"/>
            <w:left w:w="108" w:type="dxa"/>
            <w:bottom w:w="0" w:type="dxa"/>
            <w:right w:w="108" w:type="dxa"/>
          </w:tblCellMar>
        </w:tblPrEx>
        <w:trPr>
          <w:trHeight w:val="764" w:hRule="atLeast"/>
        </w:trPr>
        <w:tc>
          <w:tcPr>
            <w:tcW w:w="102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6.1.1</w:t>
            </w:r>
          </w:p>
        </w:tc>
        <w:tc>
          <w:tcPr>
            <w:tcW w:w="2160" w:type="dxa"/>
            <w:tcBorders>
              <w:top w:val="single" w:color="auto" w:sz="4" w:space="0"/>
              <w:left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评标委员会的</w:t>
            </w:r>
          </w:p>
          <w:p>
            <w:pPr>
              <w:spacing w:line="360" w:lineRule="auto"/>
              <w:jc w:val="center"/>
              <w:rPr>
                <w:rFonts w:ascii="宋体"/>
                <w:color w:val="000000" w:themeColor="text1"/>
                <w:szCs w:val="21"/>
              </w:rPr>
            </w:pPr>
            <w:r>
              <w:rPr>
                <w:rFonts w:hint="eastAsia" w:ascii="宋体" w:hAnsi="宋体"/>
                <w:color w:val="000000" w:themeColor="text1"/>
                <w:szCs w:val="21"/>
              </w:rPr>
              <w:t>组建</w:t>
            </w:r>
          </w:p>
        </w:tc>
        <w:tc>
          <w:tcPr>
            <w:tcW w:w="6480" w:type="dxa"/>
            <w:tcBorders>
              <w:top w:val="single" w:color="auto" w:sz="4" w:space="0"/>
              <w:left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color w:val="000000" w:themeColor="text1"/>
                <w:szCs w:val="21"/>
              </w:rPr>
              <w:t>评标委员会由采购人代表1人，经济、技术方面有关的专家4人组成，共</w:t>
            </w:r>
            <w:r>
              <w:rPr>
                <w:rFonts w:ascii="宋体"/>
                <w:color w:val="000000" w:themeColor="text1"/>
                <w:szCs w:val="21"/>
              </w:rPr>
              <w:t>5</w:t>
            </w:r>
            <w:r>
              <w:rPr>
                <w:rFonts w:hint="eastAsia" w:ascii="宋体"/>
                <w:color w:val="000000" w:themeColor="text1"/>
                <w:szCs w:val="21"/>
              </w:rPr>
              <w:t>人，经济、技术方面有关的专家从评标专家库中随机抽取</w:t>
            </w:r>
          </w:p>
        </w:tc>
      </w:tr>
      <w:tr>
        <w:tblPrEx>
          <w:tblLayout w:type="fixed"/>
          <w:tblCellMar>
            <w:top w:w="0" w:type="dxa"/>
            <w:left w:w="108" w:type="dxa"/>
            <w:bottom w:w="0" w:type="dxa"/>
            <w:right w:w="108" w:type="dxa"/>
          </w:tblCellMar>
        </w:tblPrEx>
        <w:trPr>
          <w:trHeight w:val="1387" w:hRule="atLeast"/>
        </w:trPr>
        <w:tc>
          <w:tcPr>
            <w:tcW w:w="1029" w:type="dxa"/>
            <w:tcBorders>
              <w:top w:val="single" w:color="auto" w:sz="4" w:space="0"/>
              <w:left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7.1</w:t>
            </w:r>
          </w:p>
        </w:tc>
        <w:tc>
          <w:tcPr>
            <w:tcW w:w="2160" w:type="dxa"/>
            <w:tcBorders>
              <w:top w:val="single" w:color="auto" w:sz="4" w:space="0"/>
              <w:left w:val="single" w:color="auto" w:sz="4" w:space="0"/>
              <w:right w:val="single" w:color="auto" w:sz="4" w:space="0"/>
            </w:tcBorders>
            <w:vAlign w:val="center"/>
          </w:tcPr>
          <w:p>
            <w:pPr>
              <w:spacing w:line="360" w:lineRule="auto"/>
              <w:jc w:val="center"/>
              <w:rPr>
                <w:rFonts w:ascii="宋体"/>
                <w:color w:val="000000" w:themeColor="text1"/>
                <w:szCs w:val="21"/>
              </w:rPr>
            </w:pPr>
            <w:r>
              <w:rPr>
                <w:rFonts w:hint="eastAsia" w:ascii="宋体" w:hAnsi="宋体"/>
                <w:color w:val="000000" w:themeColor="text1"/>
                <w:szCs w:val="21"/>
              </w:rPr>
              <w:t>是否授权评标委员会确定中标人</w:t>
            </w:r>
          </w:p>
        </w:tc>
        <w:tc>
          <w:tcPr>
            <w:tcW w:w="6480" w:type="dxa"/>
            <w:tcBorders>
              <w:top w:val="single" w:color="auto" w:sz="4" w:space="0"/>
              <w:left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否，推荐的中标候选人数为三名；</w:t>
            </w:r>
            <w:r>
              <w:rPr>
                <w:rFonts w:ascii="宋体"/>
                <w:color w:val="000000" w:themeColor="text1"/>
                <w:szCs w:val="21"/>
              </w:rPr>
              <w:t xml:space="preserve"> </w:t>
            </w:r>
          </w:p>
        </w:tc>
      </w:tr>
      <w:tr>
        <w:tblPrEx>
          <w:tblLayout w:type="fixed"/>
          <w:tblCellMar>
            <w:top w:w="0" w:type="dxa"/>
            <w:left w:w="108" w:type="dxa"/>
            <w:bottom w:w="0" w:type="dxa"/>
            <w:right w:w="108" w:type="dxa"/>
          </w:tblCellMar>
        </w:tblPrEx>
        <w:trPr>
          <w:trHeight w:val="63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themeColor="text1"/>
                <w:szCs w:val="21"/>
              </w:rPr>
            </w:pPr>
            <w:r>
              <w:rPr>
                <w:rFonts w:ascii="宋体" w:hAnsi="宋体"/>
                <w:color w:val="000000" w:themeColor="text1"/>
                <w:szCs w:val="21"/>
              </w:rPr>
              <w:t>7.3.1</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color w:val="000000" w:themeColor="text1"/>
                <w:szCs w:val="21"/>
              </w:rPr>
            </w:pPr>
            <w:r>
              <w:rPr>
                <w:rFonts w:hint="eastAsia" w:ascii="宋体" w:hAnsi="宋体"/>
                <w:color w:val="000000" w:themeColor="text1"/>
                <w:szCs w:val="21"/>
              </w:rPr>
              <w:t>履约担保</w:t>
            </w:r>
          </w:p>
        </w:tc>
        <w:tc>
          <w:tcPr>
            <w:tcW w:w="64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本项目不需要履约担保。</w:t>
            </w:r>
          </w:p>
        </w:tc>
      </w:tr>
      <w:tr>
        <w:tblPrEx>
          <w:tblLayout w:type="fixed"/>
          <w:tblCellMar>
            <w:top w:w="0" w:type="dxa"/>
            <w:left w:w="108" w:type="dxa"/>
            <w:bottom w:w="0" w:type="dxa"/>
            <w:right w:w="108" w:type="dxa"/>
          </w:tblCellMar>
        </w:tblPrEx>
        <w:trPr>
          <w:trHeight w:val="476"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themeColor="text1"/>
                <w:szCs w:val="21"/>
              </w:rPr>
            </w:pPr>
            <w:r>
              <w:rPr>
                <w:rFonts w:ascii="宋体" w:hAnsi="宋体"/>
                <w:b/>
                <w:color w:val="000000" w:themeColor="text1"/>
                <w:szCs w:val="21"/>
              </w:rPr>
              <w:t>10</w:t>
            </w:r>
          </w:p>
        </w:tc>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b/>
                <w:color w:val="000000" w:themeColor="text1"/>
                <w:szCs w:val="21"/>
              </w:rPr>
            </w:pPr>
            <w:r>
              <w:rPr>
                <w:rFonts w:hint="eastAsia" w:ascii="宋体" w:hAnsi="宋体"/>
                <w:b/>
                <w:color w:val="000000" w:themeColor="text1"/>
                <w:szCs w:val="21"/>
              </w:rPr>
              <w:t>需要补充的其他内容</w:t>
            </w:r>
          </w:p>
        </w:tc>
      </w:tr>
      <w:tr>
        <w:tblPrEx>
          <w:tblLayout w:type="fixed"/>
          <w:tblCellMar>
            <w:top w:w="0" w:type="dxa"/>
            <w:left w:w="108" w:type="dxa"/>
            <w:bottom w:w="0" w:type="dxa"/>
            <w:right w:w="108" w:type="dxa"/>
          </w:tblCellMar>
        </w:tblPrEx>
        <w:trPr>
          <w:trHeight w:val="510"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10.1</w:t>
            </w:r>
          </w:p>
        </w:tc>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s="宋体"/>
                <w:color w:val="000000" w:themeColor="text1"/>
                <w:szCs w:val="21"/>
              </w:rPr>
              <w:t>本次招标代理服务费为：依据计委计价格[2002]1980号文及发改办价格[2003]857号文，由中标单位在领取中标通知书前一次性向代理机构支付。</w:t>
            </w:r>
          </w:p>
        </w:tc>
      </w:tr>
      <w:tr>
        <w:tblPrEx>
          <w:tblLayout w:type="fixed"/>
          <w:tblCellMar>
            <w:top w:w="0" w:type="dxa"/>
            <w:left w:w="108" w:type="dxa"/>
            <w:bottom w:w="0" w:type="dxa"/>
            <w:right w:w="108" w:type="dxa"/>
          </w:tblCellMar>
        </w:tblPrEx>
        <w:trPr>
          <w:trHeight w:val="617"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olor w:val="000000" w:themeColor="text1"/>
                <w:szCs w:val="21"/>
              </w:rPr>
            </w:pPr>
            <w:r>
              <w:rPr>
                <w:rFonts w:ascii="宋体" w:hAnsi="宋体"/>
                <w:color w:val="000000" w:themeColor="text1"/>
                <w:szCs w:val="21"/>
              </w:rPr>
              <w:t>10.2</w:t>
            </w:r>
          </w:p>
        </w:tc>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本采购文件解释权归采购人所有。</w:t>
            </w:r>
          </w:p>
        </w:tc>
      </w:tr>
      <w:tr>
        <w:tblPrEx>
          <w:tblLayout w:type="fixed"/>
          <w:tblCellMar>
            <w:top w:w="0" w:type="dxa"/>
            <w:left w:w="108" w:type="dxa"/>
            <w:bottom w:w="0" w:type="dxa"/>
            <w:right w:w="108" w:type="dxa"/>
          </w:tblCellMar>
        </w:tblPrEx>
        <w:trPr>
          <w:trHeight w:val="1014"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ascii="宋体" w:hAnsi="宋体"/>
                <w:color w:val="000000" w:themeColor="text1"/>
                <w:szCs w:val="21"/>
              </w:rPr>
              <w:t>10.3</w:t>
            </w:r>
          </w:p>
        </w:tc>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color w:val="000000" w:themeColor="text1"/>
                <w:szCs w:val="21"/>
              </w:rPr>
              <w:t>产品质保期要求：免费质保期</w:t>
            </w:r>
            <w:r>
              <w:rPr>
                <w:rFonts w:ascii="宋体" w:hAnsi="宋体"/>
                <w:color w:val="000000" w:themeColor="text1"/>
                <w:szCs w:val="21"/>
              </w:rPr>
              <w:t xml:space="preserve"> 1 </w:t>
            </w:r>
            <w:r>
              <w:rPr>
                <w:rFonts w:hint="eastAsia" w:ascii="宋体" w:hAnsi="宋体"/>
                <w:color w:val="000000" w:themeColor="text1"/>
                <w:szCs w:val="21"/>
              </w:rPr>
              <w:t>年，质保期内所有产品维护、维修等要求免费上门服务。</w:t>
            </w:r>
          </w:p>
          <w:p>
            <w:pPr>
              <w:spacing w:line="360" w:lineRule="auto"/>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w:t>
            </w:r>
            <w:r>
              <w:rPr>
                <w:rFonts w:ascii="宋体" w:hAnsi="宋体"/>
                <w:color w:val="000000" w:themeColor="text1"/>
                <w:szCs w:val="21"/>
              </w:rPr>
              <w:t>1</w:t>
            </w:r>
            <w:r>
              <w:rPr>
                <w:rFonts w:hint="eastAsia" w:ascii="宋体" w:hAnsi="宋体"/>
                <w:color w:val="000000" w:themeColor="text1"/>
                <w:szCs w:val="21"/>
              </w:rPr>
              <w:t>）定期维护计划。</w:t>
            </w:r>
            <w:r>
              <w:rPr>
                <w:rFonts w:ascii="宋体" w:hAnsi="宋体"/>
                <w:color w:val="000000" w:themeColor="text1"/>
                <w:szCs w:val="21"/>
              </w:rPr>
              <w:t xml:space="preserve"> 2</w:t>
            </w:r>
            <w:r>
              <w:rPr>
                <w:rFonts w:hint="eastAsia" w:ascii="宋体" w:hAnsi="宋体"/>
                <w:color w:val="000000" w:themeColor="text1"/>
                <w:szCs w:val="21"/>
              </w:rPr>
              <w:t>）对采购人不定期维护要求的响应措施。</w:t>
            </w:r>
          </w:p>
          <w:p>
            <w:pPr>
              <w:rPr>
                <w:rFonts w:ascii="宋体" w:hAnsi="宋体" w:cs="宋体"/>
                <w:color w:val="000000" w:themeColor="text1"/>
                <w:sz w:val="24"/>
              </w:rPr>
            </w:pPr>
            <w:r>
              <w:rPr>
                <w:rFonts w:ascii="宋体" w:hAnsi="宋体"/>
                <w:color w:val="000000" w:themeColor="text1"/>
                <w:szCs w:val="21"/>
              </w:rPr>
              <w:t>2</w:t>
            </w:r>
            <w:r>
              <w:rPr>
                <w:rFonts w:hint="eastAsia" w:ascii="宋体" w:hAnsi="宋体"/>
                <w:color w:val="000000" w:themeColor="text1"/>
                <w:szCs w:val="21"/>
              </w:rPr>
              <w:t>、技术支持提供</w:t>
            </w:r>
            <w:r>
              <w:rPr>
                <w:rFonts w:ascii="宋体" w:hAnsi="宋体"/>
                <w:color w:val="000000" w:themeColor="text1"/>
                <w:szCs w:val="21"/>
              </w:rPr>
              <w:t xml:space="preserve"> 7</w:t>
            </w:r>
            <w:r>
              <w:rPr>
                <w:rFonts w:hint="eastAsia" w:ascii="宋体" w:hAnsi="宋体"/>
                <w:color w:val="000000" w:themeColor="text1"/>
                <w:szCs w:val="21"/>
              </w:rPr>
              <w:t>×</w:t>
            </w:r>
            <w:r>
              <w:rPr>
                <w:rFonts w:ascii="宋体" w:hAnsi="宋体"/>
                <w:color w:val="000000" w:themeColor="text1"/>
                <w:szCs w:val="21"/>
              </w:rPr>
              <w:t xml:space="preserve">24 </w:t>
            </w:r>
            <w:r>
              <w:rPr>
                <w:rFonts w:hint="eastAsia" w:ascii="宋体" w:hAnsi="宋体"/>
                <w:color w:val="000000" w:themeColor="text1"/>
                <w:szCs w:val="21"/>
              </w:rPr>
              <w:t>小时的技术咨询服务。</w:t>
            </w:r>
          </w:p>
          <w:p>
            <w:pPr>
              <w:spacing w:line="360" w:lineRule="auto"/>
              <w:rPr>
                <w:rFonts w:ascii="宋体" w:hAnsi="宋体"/>
                <w:color w:val="000000" w:themeColor="text1"/>
                <w:szCs w:val="21"/>
              </w:rPr>
            </w:pPr>
            <w:r>
              <w:rPr>
                <w:rFonts w:ascii="宋体" w:hAnsi="宋体" w:cs="宋体"/>
                <w:color w:val="000000" w:themeColor="text1"/>
                <w:sz w:val="24"/>
              </w:rPr>
              <w:t>3</w:t>
            </w:r>
            <w:r>
              <w:rPr>
                <w:rFonts w:hint="eastAsia" w:ascii="宋体" w:hAnsi="宋体"/>
                <w:color w:val="000000" w:themeColor="text1"/>
                <w:szCs w:val="21"/>
              </w:rPr>
              <w:t>、故障响应货物故障报修</w:t>
            </w:r>
            <w:r>
              <w:rPr>
                <w:rFonts w:ascii="宋体" w:hAnsi="宋体"/>
                <w:color w:val="000000" w:themeColor="text1"/>
                <w:szCs w:val="21"/>
              </w:rPr>
              <w:t xml:space="preserve"> 4 </w:t>
            </w:r>
            <w:r>
              <w:rPr>
                <w:rFonts w:hint="eastAsia" w:ascii="宋体" w:hAnsi="宋体"/>
                <w:color w:val="000000" w:themeColor="text1"/>
                <w:szCs w:val="21"/>
              </w:rPr>
              <w:t>小时内响应，保证在接到故障电话后</w:t>
            </w:r>
            <w:r>
              <w:rPr>
                <w:rFonts w:ascii="宋体" w:hAnsi="宋体"/>
                <w:color w:val="000000" w:themeColor="text1"/>
                <w:szCs w:val="21"/>
              </w:rPr>
              <w:t xml:space="preserve"> 8 </w:t>
            </w:r>
            <w:r>
              <w:rPr>
                <w:rFonts w:hint="eastAsia" w:ascii="宋体" w:hAnsi="宋体"/>
                <w:color w:val="000000" w:themeColor="text1"/>
                <w:szCs w:val="21"/>
              </w:rPr>
              <w:t>小时内到场，并在</w:t>
            </w:r>
            <w:r>
              <w:rPr>
                <w:rFonts w:ascii="宋体" w:hAnsi="宋体"/>
                <w:color w:val="000000" w:themeColor="text1"/>
                <w:szCs w:val="21"/>
              </w:rPr>
              <w:t xml:space="preserve"> 12 </w:t>
            </w:r>
            <w:r>
              <w:rPr>
                <w:rFonts w:hint="eastAsia" w:ascii="宋体" w:hAnsi="宋体"/>
                <w:color w:val="000000" w:themeColor="text1"/>
                <w:szCs w:val="21"/>
              </w:rPr>
              <w:t>小时内修复，</w:t>
            </w:r>
            <w:r>
              <w:rPr>
                <w:rFonts w:ascii="宋体" w:hAnsi="宋体"/>
                <w:color w:val="000000" w:themeColor="text1"/>
                <w:szCs w:val="21"/>
              </w:rPr>
              <w:t xml:space="preserve">24 </w:t>
            </w:r>
            <w:r>
              <w:rPr>
                <w:rFonts w:hint="eastAsia" w:ascii="宋体" w:hAnsi="宋体"/>
                <w:color w:val="000000" w:themeColor="text1"/>
                <w:szCs w:val="21"/>
              </w:rPr>
              <w:t>小时不能解决问题提供备品支持。</w:t>
            </w:r>
          </w:p>
          <w:p>
            <w:pPr>
              <w:spacing w:line="360" w:lineRule="auto"/>
              <w:rPr>
                <w:rFonts w:ascii="宋体"/>
                <w:b/>
                <w:color w:val="000000" w:themeColor="text1"/>
                <w:szCs w:val="21"/>
              </w:rPr>
            </w:pPr>
            <w:r>
              <w:rPr>
                <w:rFonts w:ascii="宋体" w:hAnsi="宋体"/>
                <w:color w:val="000000" w:themeColor="text1"/>
                <w:szCs w:val="21"/>
              </w:rPr>
              <w:t>4</w:t>
            </w:r>
            <w:r>
              <w:rPr>
                <w:rFonts w:hint="eastAsia" w:ascii="宋体" w:hAnsi="宋体"/>
                <w:color w:val="000000" w:themeColor="text1"/>
                <w:szCs w:val="21"/>
              </w:rPr>
              <w:t>、培训：成交人应对负责此项目技术服务小组进行专业系统培训。</w:t>
            </w:r>
          </w:p>
        </w:tc>
      </w:tr>
      <w:tr>
        <w:tblPrEx>
          <w:tblLayout w:type="fixed"/>
          <w:tblCellMar>
            <w:top w:w="0" w:type="dxa"/>
            <w:left w:w="108" w:type="dxa"/>
            <w:bottom w:w="0" w:type="dxa"/>
            <w:right w:w="108" w:type="dxa"/>
          </w:tblCellMar>
        </w:tblPrEx>
        <w:trPr>
          <w:trHeight w:val="572" w:hRule="atLeast"/>
        </w:trPr>
        <w:tc>
          <w:tcPr>
            <w:tcW w:w="10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rPr>
            </w:pPr>
            <w:r>
              <w:rPr>
                <w:rFonts w:ascii="宋体" w:hAnsi="宋体"/>
                <w:color w:val="000000" w:themeColor="text1"/>
                <w:szCs w:val="21"/>
              </w:rPr>
              <w:t>10.4</w:t>
            </w:r>
          </w:p>
        </w:tc>
        <w:tc>
          <w:tcPr>
            <w:tcW w:w="86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eastAsia="宋体"/>
                <w:color w:val="000000" w:themeColor="text1"/>
                <w:szCs w:val="21"/>
                <w:lang w:val="en-US" w:eastAsia="zh-CN"/>
              </w:rPr>
            </w:pPr>
            <w:r>
              <w:rPr>
                <w:rFonts w:hint="eastAsia" w:ascii="宋体" w:hAnsi="宋体"/>
                <w:color w:val="000000" w:themeColor="text1"/>
                <w:szCs w:val="21"/>
              </w:rPr>
              <w:t>本项目招标控制价为：</w:t>
            </w:r>
            <w:r>
              <w:rPr>
                <w:rFonts w:hint="eastAsia" w:ascii="宋体" w:hAnsi="宋体"/>
                <w:color w:val="000000" w:themeColor="text1"/>
                <w:szCs w:val="21"/>
                <w:lang w:val="en-US" w:eastAsia="zh-CN"/>
              </w:rPr>
              <w:t>165万元</w:t>
            </w:r>
          </w:p>
        </w:tc>
      </w:tr>
      <w:tr>
        <w:tblPrEx>
          <w:tblLayout w:type="fixed"/>
          <w:tblCellMar>
            <w:top w:w="0" w:type="dxa"/>
            <w:left w:w="108" w:type="dxa"/>
            <w:bottom w:w="0" w:type="dxa"/>
            <w:right w:w="108" w:type="dxa"/>
          </w:tblCellMar>
        </w:tblPrEx>
        <w:trPr>
          <w:trHeight w:val="303" w:hRule="atLeast"/>
        </w:trPr>
        <w:tc>
          <w:tcPr>
            <w:tcW w:w="966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themeColor="text1"/>
                <w:szCs w:val="21"/>
              </w:rPr>
            </w:pPr>
            <w:r>
              <w:rPr>
                <w:rFonts w:hint="eastAsia" w:ascii="宋体" w:hAnsi="宋体"/>
                <w:b/>
                <w:color w:val="000000" w:themeColor="text1"/>
              </w:rPr>
              <w:t>说明：本表中内容与本招标文件投标人须知其他处（评标办法除外）要求内容不一致的，以本表内容为准。</w:t>
            </w:r>
          </w:p>
        </w:tc>
      </w:tr>
    </w:tbl>
    <w:p>
      <w:pPr>
        <w:pStyle w:val="15"/>
        <w:rPr>
          <w:color w:val="000000" w:themeColor="text1"/>
        </w:rPr>
      </w:pPr>
      <w:bookmarkStart w:id="25" w:name="_Toc509393050"/>
      <w:bookmarkStart w:id="26" w:name="_Toc942"/>
      <w:bookmarkStart w:id="27" w:name="_Toc21158"/>
      <w:bookmarkStart w:id="28" w:name="_Toc509321672"/>
      <w:bookmarkStart w:id="29" w:name="_Toc408"/>
      <w:bookmarkStart w:id="30" w:name="_Toc18392"/>
      <w:bookmarkStart w:id="31" w:name="_Toc492055559"/>
      <w:bookmarkStart w:id="32" w:name="_Toc31857"/>
      <w:bookmarkStart w:id="33" w:name="_Toc134"/>
    </w:p>
    <w:p>
      <w:pPr>
        <w:pStyle w:val="15"/>
        <w:rPr>
          <w:color w:val="000000" w:themeColor="text1"/>
        </w:rPr>
      </w:pPr>
    </w:p>
    <w:p>
      <w:pPr>
        <w:pStyle w:val="2"/>
        <w:jc w:val="left"/>
        <w:rPr>
          <w:rFonts w:hint="eastAsia" w:ascii="宋体" w:hAnsi="宋体" w:cs="宋体"/>
          <w:color w:val="000000" w:themeColor="text1"/>
          <w:sz w:val="28"/>
          <w:szCs w:val="28"/>
        </w:rPr>
      </w:pPr>
      <w:r>
        <w:rPr>
          <w:rFonts w:hint="eastAsia" w:ascii="宋体" w:hAnsi="宋体" w:cs="宋体"/>
          <w:color w:val="000000" w:themeColor="text1"/>
          <w:sz w:val="28"/>
          <w:szCs w:val="28"/>
        </w:rPr>
        <w:br w:type="page"/>
      </w:r>
    </w:p>
    <w:p>
      <w:pPr>
        <w:pStyle w:val="2"/>
        <w:jc w:val="left"/>
        <w:rPr>
          <w:rFonts w:ascii="宋体" w:hAnsi="宋体" w:cs="宋体"/>
          <w:color w:val="000000" w:themeColor="text1"/>
          <w:sz w:val="28"/>
          <w:szCs w:val="28"/>
        </w:rPr>
      </w:pPr>
      <w:r>
        <w:rPr>
          <w:rFonts w:hint="eastAsia" w:ascii="宋体" w:hAnsi="宋体" w:cs="宋体"/>
          <w:color w:val="000000" w:themeColor="text1"/>
          <w:sz w:val="28"/>
          <w:szCs w:val="28"/>
        </w:rPr>
        <w:t>1、</w:t>
      </w:r>
      <w:bookmarkEnd w:id="25"/>
      <w:bookmarkEnd w:id="26"/>
      <w:bookmarkEnd w:id="27"/>
      <w:bookmarkEnd w:id="28"/>
      <w:bookmarkEnd w:id="29"/>
      <w:bookmarkEnd w:id="30"/>
      <w:bookmarkEnd w:id="31"/>
      <w:bookmarkEnd w:id="32"/>
      <w:bookmarkEnd w:id="33"/>
      <w:bookmarkStart w:id="34" w:name="_Toc24795"/>
      <w:bookmarkStart w:id="35" w:name="_Toc28407"/>
      <w:bookmarkStart w:id="36" w:name="_Toc492055560"/>
      <w:bookmarkStart w:id="37" w:name="_Toc329271694"/>
      <w:bookmarkStart w:id="38" w:name="_Toc5611"/>
      <w:bookmarkStart w:id="39" w:name="_Toc415738809"/>
      <w:bookmarkStart w:id="40" w:name="_Toc17955"/>
      <w:bookmarkStart w:id="41" w:name="_Toc20614"/>
      <w:bookmarkStart w:id="42" w:name="_Toc509321673"/>
      <w:bookmarkStart w:id="43" w:name="_Toc327355910"/>
      <w:bookmarkStart w:id="44" w:name="_Toc23901"/>
      <w:r>
        <w:rPr>
          <w:rFonts w:hint="eastAsia" w:ascii="宋体" w:hAnsi="宋体" w:cs="宋体"/>
          <w:color w:val="000000" w:themeColor="text1"/>
          <w:sz w:val="28"/>
          <w:szCs w:val="28"/>
        </w:rPr>
        <w:t>总则</w:t>
      </w:r>
      <w:bookmarkEnd w:id="34"/>
      <w:bookmarkEnd w:id="35"/>
      <w:bookmarkEnd w:id="36"/>
      <w:bookmarkEnd w:id="37"/>
      <w:bookmarkEnd w:id="38"/>
      <w:bookmarkEnd w:id="39"/>
      <w:bookmarkEnd w:id="40"/>
      <w:bookmarkEnd w:id="41"/>
      <w:bookmarkEnd w:id="42"/>
      <w:bookmarkEnd w:id="43"/>
      <w:bookmarkEnd w:id="44"/>
    </w:p>
    <w:p>
      <w:pPr>
        <w:pStyle w:val="17"/>
        <w:numPr>
          <w:ilvl w:val="0"/>
          <w:numId w:val="0"/>
        </w:numPr>
        <w:spacing w:line="360" w:lineRule="auto"/>
        <w:jc w:val="left"/>
        <w:rPr>
          <w:rFonts w:ascii="宋体" w:cs="宋体"/>
          <w:b/>
          <w:color w:val="000000" w:themeColor="text1"/>
          <w:szCs w:val="21"/>
        </w:rPr>
      </w:pPr>
      <w:bookmarkStart w:id="45" w:name="_Toc509321674"/>
      <w:bookmarkStart w:id="46" w:name="_Toc31582"/>
      <w:r>
        <w:rPr>
          <w:rFonts w:ascii="宋体" w:cs="宋体"/>
          <w:b/>
          <w:color w:val="000000" w:themeColor="text1"/>
          <w:szCs w:val="21"/>
        </w:rPr>
        <w:t>1.1</w:t>
      </w:r>
      <w:r>
        <w:rPr>
          <w:rFonts w:hint="eastAsia" w:ascii="宋体" w:cs="宋体"/>
          <w:b/>
          <w:color w:val="000000" w:themeColor="text1"/>
          <w:szCs w:val="21"/>
        </w:rPr>
        <w:t>项目概况</w:t>
      </w:r>
      <w:bookmarkEnd w:id="45"/>
      <w:bookmarkEnd w:id="4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1.1.1 根据《中华人民共和国招标投标法》等有关法律、法规和规章的规定，本招标项目已具备招标条件，现对本项目进行招标。本招标文件仅适用于通许县交通运输局执法所非现场执法系统项目。</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1.1.2 本项目采购人：见投标人须知前附表。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1.1.3 本项目采购代理机构：见投标人须知前附表。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1.1.4 本项目名称：见投标人须知前附表。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1.1.5 本项目供货地点：见投标人须知前附表。</w:t>
      </w:r>
    </w:p>
    <w:p>
      <w:pPr>
        <w:pStyle w:val="17"/>
        <w:numPr>
          <w:ilvl w:val="0"/>
          <w:numId w:val="0"/>
        </w:numPr>
        <w:tabs>
          <w:tab w:val="clear" w:pos="6096"/>
        </w:tabs>
        <w:spacing w:line="360" w:lineRule="auto"/>
        <w:jc w:val="left"/>
        <w:rPr>
          <w:rFonts w:ascii="宋体" w:cs="宋体"/>
          <w:b/>
          <w:color w:val="000000" w:themeColor="text1"/>
          <w:szCs w:val="21"/>
        </w:rPr>
      </w:pPr>
      <w:bookmarkStart w:id="47" w:name="_Toc509321675"/>
      <w:bookmarkStart w:id="48" w:name="_Toc30867"/>
      <w:r>
        <w:rPr>
          <w:rFonts w:ascii="宋体" w:cs="宋体"/>
          <w:b/>
          <w:color w:val="000000" w:themeColor="text1"/>
          <w:szCs w:val="21"/>
        </w:rPr>
        <w:t>1.2</w:t>
      </w:r>
      <w:r>
        <w:rPr>
          <w:rFonts w:hint="eastAsia" w:ascii="宋体" w:cs="宋体"/>
          <w:b/>
          <w:color w:val="000000" w:themeColor="text1"/>
          <w:szCs w:val="21"/>
        </w:rPr>
        <w:t>资金来源与落实情况</w:t>
      </w:r>
      <w:bookmarkEnd w:id="47"/>
      <w:bookmarkEnd w:id="48"/>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1.2.1 本项目资金来源：见投标人须知前附表。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1.2.2 本项目资金落实情况：见投标人须知前附表。</w:t>
      </w:r>
    </w:p>
    <w:p>
      <w:pPr>
        <w:pStyle w:val="17"/>
        <w:numPr>
          <w:ilvl w:val="0"/>
          <w:numId w:val="0"/>
        </w:numPr>
        <w:tabs>
          <w:tab w:val="clear" w:pos="6096"/>
        </w:tabs>
        <w:spacing w:line="360" w:lineRule="auto"/>
        <w:jc w:val="left"/>
        <w:rPr>
          <w:rFonts w:ascii="宋体" w:cs="宋体"/>
          <w:b/>
          <w:color w:val="000000" w:themeColor="text1"/>
          <w:szCs w:val="21"/>
        </w:rPr>
      </w:pPr>
      <w:bookmarkStart w:id="49" w:name="_Toc509321676"/>
      <w:bookmarkStart w:id="50" w:name="_Toc12835"/>
      <w:r>
        <w:rPr>
          <w:rFonts w:ascii="宋体" w:cs="宋体"/>
          <w:b/>
          <w:color w:val="000000" w:themeColor="text1"/>
          <w:szCs w:val="21"/>
        </w:rPr>
        <w:t>1.3</w:t>
      </w:r>
      <w:r>
        <w:rPr>
          <w:rFonts w:hint="eastAsia" w:ascii="宋体" w:cs="宋体"/>
          <w:b/>
          <w:color w:val="000000" w:themeColor="text1"/>
          <w:szCs w:val="21"/>
        </w:rPr>
        <w:t>招标内容、质量要求、质保期和标段划分</w:t>
      </w:r>
      <w:bookmarkEnd w:id="49"/>
      <w:bookmarkEnd w:id="5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1.3.1 本次招标内容：见投标人须知前附表。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1.3.2 本项目的质量要求：见投标人须知前附表。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1.3.3 本项目的质保期：见投标人须知前附表。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1.3.4 本项目的标段划分：见投标人须知前附表。</w:t>
      </w:r>
    </w:p>
    <w:p>
      <w:pPr>
        <w:pStyle w:val="17"/>
        <w:numPr>
          <w:ilvl w:val="0"/>
          <w:numId w:val="0"/>
        </w:numPr>
        <w:tabs>
          <w:tab w:val="clear" w:pos="6096"/>
        </w:tabs>
        <w:spacing w:line="360" w:lineRule="auto"/>
        <w:jc w:val="left"/>
        <w:rPr>
          <w:rFonts w:ascii="宋体" w:cs="宋体"/>
          <w:b/>
          <w:color w:val="000000" w:themeColor="text1"/>
          <w:szCs w:val="21"/>
        </w:rPr>
      </w:pPr>
      <w:bookmarkStart w:id="51" w:name="_Toc26778"/>
      <w:bookmarkStart w:id="52" w:name="_Toc509321677"/>
      <w:r>
        <w:rPr>
          <w:rFonts w:ascii="宋体" w:cs="宋体"/>
          <w:b/>
          <w:color w:val="000000" w:themeColor="text1"/>
          <w:szCs w:val="21"/>
        </w:rPr>
        <w:t>1.4</w:t>
      </w:r>
      <w:r>
        <w:rPr>
          <w:rFonts w:hint="eastAsia" w:ascii="宋体" w:cs="宋体"/>
          <w:b/>
          <w:color w:val="000000" w:themeColor="text1"/>
          <w:szCs w:val="21"/>
        </w:rPr>
        <w:t>投标人资格要求</w:t>
      </w:r>
      <w:bookmarkEnd w:id="51"/>
      <w:bookmarkEnd w:id="5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1.4.1投标人应具备承担本招标项目资质条件、能力和信誉：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（1）资质要求：见投标人须知前附表；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（2）财务要求：见投标人须知前附表；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（3）信誉要求：见投标人须知前附表；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（4）其他要求：见投标人须知前附表。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1.4.2投标人须知前附表规定接受联合体投标的，联合体除应符合本章第1.4.1项和投标人须知前附表的要求外，还应遵守以下规定：</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（1）联合体各方应按招标文件提供的格式签订联合体协议书，明确联合体牵头人和各方权利义务，并承诺就中标项目向招标人承担连带责任；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（2）由同一专业的单位组成的联合体，按照资质等级较低的单位确定资质等级；</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（3）联合体各方不得再以自己名义单独或参加其他联合体在本招标项目中投标，否则各相关投标均无效。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1.4.3投标人不得存在下列情形之一：</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（1）与招标人存在利害关系且可能影响招标公正性；</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（2）与本招标项目的其他投标人为同一个单位负责人；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（3）与本招标项目的其他投标人存在控股、管理关系；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（4）与本招标项目其他投标人代理同一个制造商同一品牌同一型号的设备投标；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（5）为本招标项目提供过设计、编制技术规范和其他文件的咨询服务；</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（6）为本工程项目的相关监理人，或者与本工程项目的相关监理人存在隶属关系或者其他利害关系；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（7）为本招标项目的代建人；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（8）为本招标项目的招标代理机构；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（9）与本招标项目的监理人或代建人或招标代理机构同为一个法定代表人；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（10）与本招标项目的监理人或代建人或招标代理机构存在控股或参股关系；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（11）被依法暂停或者取消投标资格；</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（12）被责令停产停业、暂扣或者吊销许可证、暂扣或者吊销执照；</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（13）进入清算程序，或被宣告破产，或其他丧失履约能力的情形；</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（14）在最近三年内发生重大产品质量问题（以相关行业主管部门的行政处罚决定或司法机关出具的有关法律文书为准）；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（15）被工商行政管理机关在全国企业信用信息公示系统中列入严重违法失信企业名单；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（16）被最高人民法院在“信用中国”网站（www.creditchina.gov.cn）或各级信用信息共享平台中列入失信被执行人名单；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（17）法律法规或投标人须知前附表规定的其他情形。</w:t>
      </w:r>
    </w:p>
    <w:p>
      <w:pPr>
        <w:pStyle w:val="17"/>
        <w:numPr>
          <w:ilvl w:val="0"/>
          <w:numId w:val="0"/>
        </w:numPr>
        <w:tabs>
          <w:tab w:val="clear" w:pos="6096"/>
        </w:tabs>
        <w:spacing w:line="360" w:lineRule="auto"/>
        <w:jc w:val="left"/>
        <w:rPr>
          <w:rFonts w:ascii="宋体" w:cs="宋体"/>
          <w:b/>
          <w:color w:val="000000" w:themeColor="text1"/>
          <w:szCs w:val="21"/>
        </w:rPr>
      </w:pPr>
      <w:bookmarkStart w:id="53" w:name="_Toc30642"/>
      <w:bookmarkStart w:id="54" w:name="_Toc509321678"/>
      <w:r>
        <w:rPr>
          <w:rFonts w:ascii="宋体" w:cs="宋体"/>
          <w:b/>
          <w:color w:val="000000" w:themeColor="text1"/>
          <w:szCs w:val="21"/>
        </w:rPr>
        <w:t>1.5</w:t>
      </w:r>
      <w:r>
        <w:rPr>
          <w:rFonts w:hint="eastAsia" w:ascii="宋体" w:cs="宋体"/>
          <w:b/>
          <w:color w:val="000000" w:themeColor="text1"/>
          <w:szCs w:val="21"/>
        </w:rPr>
        <w:t>费用承担</w:t>
      </w:r>
      <w:bookmarkEnd w:id="53"/>
      <w:bookmarkEnd w:id="54"/>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投标人应承担所有与其参加投标有关的全部费用，不论投标的结果如何，采购代理机构和采购人在任何情况下均无义务和责任承担这些费用。</w:t>
      </w:r>
    </w:p>
    <w:p>
      <w:pPr>
        <w:pStyle w:val="17"/>
        <w:numPr>
          <w:ilvl w:val="0"/>
          <w:numId w:val="0"/>
        </w:numPr>
        <w:tabs>
          <w:tab w:val="clear" w:pos="6096"/>
        </w:tabs>
        <w:spacing w:line="360" w:lineRule="auto"/>
        <w:jc w:val="left"/>
        <w:rPr>
          <w:rFonts w:ascii="宋体" w:cs="宋体"/>
          <w:b/>
          <w:color w:val="000000" w:themeColor="text1"/>
          <w:szCs w:val="21"/>
        </w:rPr>
      </w:pPr>
      <w:bookmarkStart w:id="55" w:name="_Toc24354"/>
      <w:bookmarkStart w:id="56" w:name="_Toc509321679"/>
      <w:r>
        <w:rPr>
          <w:rFonts w:ascii="宋体" w:cs="宋体"/>
          <w:b/>
          <w:color w:val="000000" w:themeColor="text1"/>
          <w:szCs w:val="21"/>
        </w:rPr>
        <w:t>1.6</w:t>
      </w:r>
      <w:r>
        <w:rPr>
          <w:rFonts w:hint="eastAsia" w:ascii="宋体" w:cs="宋体"/>
          <w:b/>
          <w:color w:val="000000" w:themeColor="text1"/>
          <w:szCs w:val="21"/>
        </w:rPr>
        <w:t>纪律与保密事项</w:t>
      </w:r>
      <w:bookmarkEnd w:id="55"/>
      <w:bookmarkEnd w:id="5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1.6.1 凡参与招标工作的有关人员均应自觉接受有关主管部门的监督，不得向他人透露可能影响公平竞争的有关招标投标的其他情况。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1.6.2 开标后，直至向中标的投标人发出《中标通知书》时止，凡与审查、澄清、评价和比较投标的有关资料以及授标意见等，均不得向投标人及与评标无关的其他人透露。</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1.6.3 除投标人被要求对投标文件进行澄清外，从开标之时起至授予合同期间，投标人不得就与其投标文件有关的事项主动与评标委员会、采购代理机构以及采购人联系。</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1.6.4 从开标之日起至授予合同期间，投标人试图在投标文件审查、澄清、比较和评价时对评标委员会和采购代理机构施加任何影响或对采购人的比较及授予合同的决定进行影响，都可能导致其投标文件被拒绝。</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1.6.5 投标人不得串通作弊，以不正当手段妨碍、排挤其他投标人，扰乱招标市场，破坏公平竞争原则。</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1.6.6 获得本招标文件者，应对文件进行保密，不得用作本次投标以外的任何用途。</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1.6.7 由采购人向投标人提供的技术资料等所有其他资料，被视为保密资料，仅被用于它所规定的用途，除非得到采购人的同意，不能向任何第三方透露。开标完成后，应采购人要求，投标人应归还所有从采购人处获得的保密资料。</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1.6.8参与招标投标活动的各方应对招标文件和投标文件中的商业和技术等秘密保密，否则应对由此造成的后果承担法律责任。</w:t>
      </w:r>
    </w:p>
    <w:p>
      <w:pPr>
        <w:pStyle w:val="17"/>
        <w:numPr>
          <w:ilvl w:val="0"/>
          <w:numId w:val="0"/>
        </w:numPr>
        <w:tabs>
          <w:tab w:val="clear" w:pos="6096"/>
        </w:tabs>
        <w:spacing w:line="360" w:lineRule="auto"/>
        <w:jc w:val="left"/>
        <w:rPr>
          <w:rFonts w:ascii="宋体" w:cs="宋体"/>
          <w:b/>
          <w:color w:val="000000" w:themeColor="text1"/>
          <w:szCs w:val="21"/>
        </w:rPr>
      </w:pPr>
      <w:bookmarkStart w:id="57" w:name="_Toc509321680"/>
      <w:bookmarkStart w:id="58" w:name="_Toc9755"/>
      <w:r>
        <w:rPr>
          <w:rFonts w:ascii="宋体" w:cs="宋体"/>
          <w:b/>
          <w:color w:val="000000" w:themeColor="text1"/>
          <w:szCs w:val="21"/>
        </w:rPr>
        <w:t>1.7</w:t>
      </w:r>
      <w:r>
        <w:rPr>
          <w:rFonts w:hint="eastAsia" w:ascii="宋体" w:cs="宋体"/>
          <w:b/>
          <w:color w:val="000000" w:themeColor="text1"/>
          <w:szCs w:val="21"/>
        </w:rPr>
        <w:t>投标人知悉</w:t>
      </w:r>
      <w:bookmarkEnd w:id="57"/>
      <w:bookmarkEnd w:id="58"/>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1.7.1 凡响应本次招标的投标人均被视为已充分认识和理解了任何与本项目有关的影响事项和困难等情况。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1.7.2 投标人应对本项目所有的招标内容进行投标，不允许只对其中部分内容的投标。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1.7.3 招标文件与技术资料存在出入的时候，以招标文件及最后发出的答疑纪要的内容为准。</w:t>
      </w:r>
    </w:p>
    <w:p>
      <w:pPr>
        <w:pStyle w:val="17"/>
        <w:numPr>
          <w:ilvl w:val="0"/>
          <w:numId w:val="0"/>
        </w:numPr>
        <w:tabs>
          <w:tab w:val="clear" w:pos="6096"/>
        </w:tabs>
        <w:spacing w:line="360" w:lineRule="auto"/>
        <w:jc w:val="left"/>
        <w:rPr>
          <w:rFonts w:ascii="宋体" w:cs="宋体"/>
          <w:b/>
          <w:color w:val="000000" w:themeColor="text1"/>
          <w:szCs w:val="21"/>
        </w:rPr>
      </w:pPr>
      <w:bookmarkStart w:id="59" w:name="_Toc509321682"/>
      <w:bookmarkStart w:id="60" w:name="_Toc31142"/>
      <w:r>
        <w:rPr>
          <w:rFonts w:ascii="宋体" w:cs="宋体"/>
          <w:b/>
          <w:color w:val="000000" w:themeColor="text1"/>
          <w:szCs w:val="21"/>
        </w:rPr>
        <w:t>1.</w:t>
      </w:r>
      <w:r>
        <w:rPr>
          <w:rFonts w:hint="eastAsia" w:ascii="宋体" w:cs="宋体"/>
          <w:b/>
          <w:color w:val="000000" w:themeColor="text1"/>
          <w:szCs w:val="21"/>
        </w:rPr>
        <w:t>8语言文字</w:t>
      </w:r>
      <w:bookmarkEnd w:id="59"/>
      <w:bookmarkEnd w:id="6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除专用术语外，与招标投标有关的语言均使用中文。必要时专用术语应附有中文注释。</w:t>
      </w:r>
    </w:p>
    <w:p>
      <w:pPr>
        <w:pStyle w:val="17"/>
        <w:numPr>
          <w:ilvl w:val="0"/>
          <w:numId w:val="0"/>
        </w:numPr>
        <w:tabs>
          <w:tab w:val="clear" w:pos="6096"/>
        </w:tabs>
        <w:spacing w:line="360" w:lineRule="auto"/>
        <w:jc w:val="left"/>
        <w:rPr>
          <w:rFonts w:ascii="宋体" w:cs="宋体"/>
          <w:b/>
          <w:color w:val="000000" w:themeColor="text1"/>
          <w:szCs w:val="21"/>
        </w:rPr>
      </w:pPr>
      <w:bookmarkStart w:id="61" w:name="_Toc509321683"/>
      <w:bookmarkStart w:id="62" w:name="_Toc15565"/>
      <w:r>
        <w:rPr>
          <w:rFonts w:ascii="宋体" w:cs="宋体"/>
          <w:b/>
          <w:color w:val="000000" w:themeColor="text1"/>
          <w:szCs w:val="21"/>
        </w:rPr>
        <w:t>1.</w:t>
      </w:r>
      <w:r>
        <w:rPr>
          <w:rFonts w:hint="eastAsia" w:ascii="宋体" w:cs="宋体"/>
          <w:b/>
          <w:color w:val="000000" w:themeColor="text1"/>
          <w:szCs w:val="21"/>
        </w:rPr>
        <w:t>9计量单位</w:t>
      </w:r>
      <w:bookmarkEnd w:id="61"/>
      <w:bookmarkEnd w:id="6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所有计量单位均采用中华人民共和国法定计量单位。</w:t>
      </w:r>
    </w:p>
    <w:p>
      <w:pPr>
        <w:pStyle w:val="17"/>
        <w:numPr>
          <w:ilvl w:val="0"/>
          <w:numId w:val="0"/>
        </w:numPr>
        <w:tabs>
          <w:tab w:val="clear" w:pos="6096"/>
        </w:tabs>
        <w:spacing w:line="360" w:lineRule="auto"/>
        <w:jc w:val="left"/>
        <w:rPr>
          <w:rFonts w:ascii="宋体" w:cs="宋体"/>
          <w:b/>
          <w:color w:val="000000" w:themeColor="text1"/>
          <w:szCs w:val="21"/>
        </w:rPr>
      </w:pPr>
      <w:bookmarkStart w:id="63" w:name="_Toc20809"/>
      <w:bookmarkStart w:id="64" w:name="_Toc509321685"/>
      <w:r>
        <w:rPr>
          <w:rFonts w:ascii="宋体" w:cs="宋体"/>
          <w:b/>
          <w:color w:val="000000" w:themeColor="text1"/>
          <w:szCs w:val="21"/>
        </w:rPr>
        <w:t>1.1</w:t>
      </w:r>
      <w:r>
        <w:rPr>
          <w:rFonts w:hint="eastAsia" w:ascii="宋体" w:cs="宋体"/>
          <w:b/>
          <w:color w:val="000000" w:themeColor="text1"/>
          <w:szCs w:val="21"/>
        </w:rPr>
        <w:t>0踏勘现场</w:t>
      </w:r>
      <w:bookmarkEnd w:id="63"/>
      <w:bookmarkEnd w:id="64"/>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1.10.1 采购人不组织，由投标人自行对工程现场及周围环境进行踏勘，以便投标人获取对自己负责的有关编制投标文件和签署合同所需的所有资料。踏勘现场所发生的费用由投标人自行承担；</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1.10.2 采购人向投标人提供的有关现场的资料和数据，是采购人现有的能使投标人利用的资料。采购人对投标人由此而做出的推论、理解和结论概不负责；</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1.10.3 投标人经过采购人的允许，可为踏勘目的进入采购人的工程现场，但投标人不得因此使采购人及其人员承担有关的责任和蒙受损失。投标人应对由此次踏勘现场而造成的死亡、人身伤害、财产损失、损害以及任何其它损失、损害和引起的费用和开支承担责任；</w:t>
      </w:r>
    </w:p>
    <w:p>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1.10.4 如果投标人认为需要再次进行现场踏勘，采购人将予以支持，费用由投标人自理。</w:t>
      </w:r>
    </w:p>
    <w:p>
      <w:pPr>
        <w:pStyle w:val="17"/>
        <w:numPr>
          <w:ilvl w:val="0"/>
          <w:numId w:val="0"/>
        </w:numPr>
        <w:tabs>
          <w:tab w:val="clear" w:pos="6096"/>
        </w:tabs>
        <w:spacing w:line="360" w:lineRule="auto"/>
        <w:jc w:val="left"/>
        <w:rPr>
          <w:rFonts w:ascii="宋体" w:cs="宋体"/>
          <w:b/>
          <w:color w:val="000000" w:themeColor="text1"/>
          <w:szCs w:val="21"/>
        </w:rPr>
      </w:pPr>
      <w:bookmarkStart w:id="65" w:name="_Toc509321686"/>
      <w:bookmarkStart w:id="66" w:name="_Toc23666"/>
      <w:r>
        <w:rPr>
          <w:rFonts w:ascii="宋体" w:cs="宋体"/>
          <w:b/>
          <w:color w:val="000000" w:themeColor="text1"/>
          <w:szCs w:val="21"/>
        </w:rPr>
        <w:t>1.1</w:t>
      </w:r>
      <w:r>
        <w:rPr>
          <w:rFonts w:hint="eastAsia" w:ascii="宋体" w:cs="宋体"/>
          <w:b/>
          <w:color w:val="000000" w:themeColor="text1"/>
          <w:szCs w:val="21"/>
        </w:rPr>
        <w:t>1投标预备会</w:t>
      </w:r>
      <w:bookmarkEnd w:id="65"/>
      <w:bookmarkEnd w:id="6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1.11.1 投标人须知前附表规定召开投标预备会的，采购人按投标人须知前附表规定的时间和地点召开投标预备会，澄清投标人提出的问题。</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1.11.2 投标人应在投标人须知前附表规定的时间前，以书面形式将提出的问题送达采购人，以便采购人在会议期间澄清。</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1.11.3 投标预备会后，采购人在投标人须知前附表规定的时间内，将对投标人所提问颗的澄清，以书面方式通知所有购买招标文件的投标人。该澄清内容为招标文件的组成部分。</w:t>
      </w:r>
    </w:p>
    <w:p>
      <w:pPr>
        <w:pStyle w:val="17"/>
        <w:numPr>
          <w:ilvl w:val="0"/>
          <w:numId w:val="0"/>
        </w:numPr>
        <w:tabs>
          <w:tab w:val="clear" w:pos="6096"/>
        </w:tabs>
        <w:spacing w:line="360" w:lineRule="auto"/>
        <w:jc w:val="left"/>
        <w:rPr>
          <w:rFonts w:ascii="宋体" w:cs="宋体"/>
          <w:b/>
          <w:color w:val="000000" w:themeColor="text1"/>
          <w:szCs w:val="21"/>
        </w:rPr>
      </w:pPr>
      <w:bookmarkStart w:id="67" w:name="_Toc3837"/>
      <w:bookmarkStart w:id="68" w:name="_Toc509321687"/>
      <w:r>
        <w:rPr>
          <w:rFonts w:ascii="宋体" w:cs="宋体"/>
          <w:b/>
          <w:color w:val="000000" w:themeColor="text1"/>
          <w:szCs w:val="21"/>
        </w:rPr>
        <w:t>1.1</w:t>
      </w:r>
      <w:r>
        <w:rPr>
          <w:rFonts w:hint="eastAsia" w:ascii="宋体" w:cs="宋体"/>
          <w:b/>
          <w:color w:val="000000" w:themeColor="text1"/>
          <w:szCs w:val="21"/>
        </w:rPr>
        <w:t>2分包</w:t>
      </w:r>
      <w:bookmarkEnd w:id="67"/>
      <w:bookmarkEnd w:id="68"/>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本项目不允许分包。</w:t>
      </w:r>
    </w:p>
    <w:p>
      <w:pPr>
        <w:pStyle w:val="17"/>
        <w:numPr>
          <w:ilvl w:val="0"/>
          <w:numId w:val="0"/>
        </w:numPr>
        <w:tabs>
          <w:tab w:val="clear" w:pos="6096"/>
        </w:tabs>
        <w:spacing w:line="360" w:lineRule="auto"/>
        <w:jc w:val="left"/>
        <w:rPr>
          <w:rFonts w:ascii="宋体" w:cs="宋体"/>
          <w:b/>
          <w:color w:val="000000" w:themeColor="text1"/>
          <w:szCs w:val="21"/>
        </w:rPr>
      </w:pPr>
      <w:bookmarkStart w:id="69" w:name="_Toc509321688"/>
      <w:bookmarkStart w:id="70" w:name="_Toc329271695"/>
      <w:bookmarkStart w:id="71" w:name="_Toc30614"/>
      <w:bookmarkStart w:id="72" w:name="_Toc492055561"/>
      <w:bookmarkStart w:id="73" w:name="_Toc11783"/>
      <w:bookmarkStart w:id="74" w:name="_Toc8654"/>
      <w:bookmarkStart w:id="75" w:name="_Toc415738810"/>
      <w:bookmarkStart w:id="76" w:name="_Toc19054"/>
      <w:bookmarkStart w:id="77" w:name="_Toc13369"/>
      <w:bookmarkStart w:id="78" w:name="_Toc24343"/>
      <w:r>
        <w:rPr>
          <w:rFonts w:ascii="宋体" w:cs="宋体"/>
          <w:b/>
          <w:color w:val="000000" w:themeColor="text1"/>
          <w:szCs w:val="21"/>
        </w:rPr>
        <w:t>2.</w:t>
      </w:r>
      <w:r>
        <w:rPr>
          <w:rFonts w:hint="eastAsia" w:ascii="宋体" w:cs="宋体"/>
          <w:b/>
          <w:color w:val="000000" w:themeColor="text1"/>
          <w:szCs w:val="21"/>
        </w:rPr>
        <w:t>招标文件</w:t>
      </w:r>
      <w:bookmarkEnd w:id="69"/>
      <w:bookmarkEnd w:id="70"/>
      <w:bookmarkEnd w:id="71"/>
      <w:bookmarkEnd w:id="72"/>
      <w:bookmarkEnd w:id="73"/>
      <w:bookmarkEnd w:id="74"/>
      <w:bookmarkEnd w:id="75"/>
      <w:bookmarkEnd w:id="76"/>
      <w:bookmarkEnd w:id="77"/>
      <w:bookmarkEnd w:id="78"/>
    </w:p>
    <w:p>
      <w:pPr>
        <w:pStyle w:val="17"/>
        <w:numPr>
          <w:ilvl w:val="0"/>
          <w:numId w:val="0"/>
        </w:numPr>
        <w:tabs>
          <w:tab w:val="clear" w:pos="6096"/>
        </w:tabs>
        <w:spacing w:line="360" w:lineRule="auto"/>
        <w:jc w:val="left"/>
        <w:rPr>
          <w:rFonts w:ascii="宋体" w:cs="宋体"/>
          <w:b/>
          <w:color w:val="000000" w:themeColor="text1"/>
          <w:szCs w:val="21"/>
        </w:rPr>
      </w:pPr>
      <w:bookmarkStart w:id="79" w:name="_Toc8760"/>
      <w:bookmarkStart w:id="80" w:name="_Toc509321689"/>
      <w:r>
        <w:rPr>
          <w:rFonts w:ascii="宋体" w:cs="宋体"/>
          <w:b/>
          <w:color w:val="000000" w:themeColor="text1"/>
          <w:szCs w:val="21"/>
        </w:rPr>
        <w:t>2.1</w:t>
      </w:r>
      <w:r>
        <w:rPr>
          <w:rFonts w:hint="eastAsia" w:ascii="宋体" w:cs="宋体"/>
          <w:b/>
          <w:color w:val="000000" w:themeColor="text1"/>
          <w:szCs w:val="21"/>
        </w:rPr>
        <w:t>招标文件的构成</w:t>
      </w:r>
      <w:bookmarkEnd w:id="79"/>
      <w:bookmarkEnd w:id="8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2.1.1 本次招标的有关内容和要求在招标文件中均有说明。招标文件包括：</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第一章   招标公告</w:t>
      </w:r>
    </w:p>
    <w:p>
      <w:pPr>
        <w:spacing w:line="360" w:lineRule="auto"/>
        <w:ind w:firstLine="191" w:firstLineChars="91"/>
        <w:rPr>
          <w:rFonts w:ascii="宋体" w:hAnsi="宋体" w:cs="宋体"/>
          <w:color w:val="000000" w:themeColor="text1"/>
          <w:szCs w:val="21"/>
        </w:rPr>
      </w:pPr>
      <w:r>
        <w:rPr>
          <w:rFonts w:hint="eastAsia" w:ascii="宋体" w:hAnsi="宋体" w:cs="宋体"/>
          <w:color w:val="000000" w:themeColor="text1"/>
          <w:szCs w:val="21"/>
        </w:rPr>
        <w:t xml:space="preserve">  第二章   投标人须知</w:t>
      </w:r>
    </w:p>
    <w:p>
      <w:pPr>
        <w:spacing w:line="360" w:lineRule="auto"/>
        <w:ind w:firstLine="191" w:firstLineChars="91"/>
        <w:rPr>
          <w:rFonts w:ascii="宋体" w:hAnsi="宋体" w:cs="宋体"/>
          <w:color w:val="000000" w:themeColor="text1"/>
          <w:szCs w:val="21"/>
        </w:rPr>
      </w:pPr>
      <w:r>
        <w:rPr>
          <w:rFonts w:hint="eastAsia" w:ascii="宋体" w:hAnsi="宋体" w:cs="宋体"/>
          <w:color w:val="000000" w:themeColor="text1"/>
          <w:szCs w:val="21"/>
        </w:rPr>
        <w:t xml:space="preserve">  第三章   评标办法</w:t>
      </w:r>
    </w:p>
    <w:p>
      <w:pPr>
        <w:spacing w:line="360" w:lineRule="auto"/>
        <w:ind w:firstLine="191" w:firstLineChars="91"/>
        <w:rPr>
          <w:rFonts w:ascii="宋体" w:hAnsi="宋体" w:cs="宋体"/>
          <w:color w:val="000000" w:themeColor="text1"/>
          <w:szCs w:val="21"/>
        </w:rPr>
      </w:pPr>
      <w:r>
        <w:rPr>
          <w:rFonts w:hint="eastAsia" w:ascii="宋体" w:hAnsi="宋体" w:cs="宋体"/>
          <w:color w:val="000000" w:themeColor="text1"/>
          <w:szCs w:val="21"/>
        </w:rPr>
        <w:t xml:space="preserve">  第四章   规格及技术要求</w:t>
      </w:r>
    </w:p>
    <w:p>
      <w:pPr>
        <w:spacing w:line="360" w:lineRule="auto"/>
        <w:ind w:firstLine="191" w:firstLineChars="91"/>
        <w:rPr>
          <w:rFonts w:ascii="宋体" w:hAnsi="宋体" w:cs="宋体"/>
          <w:color w:val="000000" w:themeColor="text1"/>
          <w:szCs w:val="21"/>
        </w:rPr>
      </w:pPr>
      <w:r>
        <w:rPr>
          <w:rFonts w:hint="eastAsia" w:ascii="宋体" w:hAnsi="宋体" w:cs="宋体"/>
          <w:color w:val="000000" w:themeColor="text1"/>
          <w:szCs w:val="21"/>
        </w:rPr>
        <w:t xml:space="preserve">  第五章   合同样式</w:t>
      </w:r>
    </w:p>
    <w:p>
      <w:pPr>
        <w:spacing w:line="360" w:lineRule="auto"/>
        <w:ind w:firstLine="191" w:firstLineChars="91"/>
        <w:rPr>
          <w:rFonts w:ascii="宋体" w:hAnsi="宋体" w:cs="宋体"/>
          <w:color w:val="000000" w:themeColor="text1"/>
          <w:szCs w:val="21"/>
        </w:rPr>
      </w:pPr>
      <w:r>
        <w:rPr>
          <w:rFonts w:hint="eastAsia" w:ascii="宋体" w:hAnsi="宋体" w:cs="宋体"/>
          <w:color w:val="000000" w:themeColor="text1"/>
          <w:szCs w:val="21"/>
        </w:rPr>
        <w:t xml:space="preserve">  第六章   投标文件格式</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根据本章第1.13款、第2.2款和第2.3款对招标文件所作的澄清、修改，构成招标文件的组成部分。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2.1.2 除非有特殊要求，招标文件不单独提供招标产品使用地的自然环境、气候条件、公用设施等情况，投标人被视为熟悉上述与履行合同有关的一切情况。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2.1.3 投标人应清楚招标文件应该直接从采购代理机构获得，根据复制的招标文件编制的投标文件将被拒收。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2.1.4 本招标文件以采购方（采购人或采购代理机构）发出的文字版招标文件为准。</w:t>
      </w:r>
    </w:p>
    <w:p>
      <w:pPr>
        <w:pStyle w:val="17"/>
        <w:numPr>
          <w:ilvl w:val="0"/>
          <w:numId w:val="0"/>
        </w:numPr>
        <w:tabs>
          <w:tab w:val="clear" w:pos="6096"/>
        </w:tabs>
        <w:spacing w:line="360" w:lineRule="auto"/>
        <w:jc w:val="left"/>
        <w:rPr>
          <w:rFonts w:ascii="宋体" w:cs="宋体"/>
          <w:b/>
          <w:color w:val="000000" w:themeColor="text1"/>
          <w:szCs w:val="21"/>
        </w:rPr>
      </w:pPr>
      <w:bookmarkStart w:id="81" w:name="_Toc4956"/>
      <w:bookmarkStart w:id="82" w:name="_Toc509321690"/>
      <w:r>
        <w:rPr>
          <w:rFonts w:ascii="宋体" w:cs="宋体"/>
          <w:b/>
          <w:color w:val="000000" w:themeColor="text1"/>
          <w:szCs w:val="21"/>
        </w:rPr>
        <w:t>2.2</w:t>
      </w:r>
      <w:r>
        <w:rPr>
          <w:rFonts w:hint="eastAsia" w:ascii="宋体" w:cs="宋体"/>
          <w:b/>
          <w:color w:val="000000" w:themeColor="text1"/>
          <w:szCs w:val="21"/>
        </w:rPr>
        <w:t>招标文件的澄清</w:t>
      </w:r>
      <w:bookmarkEnd w:id="81"/>
      <w:bookmarkEnd w:id="8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2.2.1投标人应仔细阅读和检查招标文件的全部内容。如发现缺页或附件不全，应及时向招标人提出，以便补齐。如有疑问，应在投标人须知前附表规定的时间前在“电子交易平台”上进行提问，要求招标人对招标文件予以澄清。</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2.2.2 招标文件的澄清将在投标人须知前附表规定的投标截止时间15天前在“电子交易平台”系统发给所有购买招标文件的投标人，但不指明澄清问题的来源。如果澄清发出的时间距投标截止时间不足15天，相应延长投标截止时间。</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2.2.3 投标人在收到澄清后，应在投标人须知前附表规定的时间内回复确认已收到该澄清。</w:t>
      </w:r>
    </w:p>
    <w:p>
      <w:pPr>
        <w:pStyle w:val="17"/>
        <w:numPr>
          <w:ilvl w:val="0"/>
          <w:numId w:val="0"/>
        </w:numPr>
        <w:tabs>
          <w:tab w:val="clear" w:pos="6096"/>
        </w:tabs>
        <w:spacing w:line="360" w:lineRule="auto"/>
        <w:jc w:val="left"/>
        <w:rPr>
          <w:rFonts w:ascii="宋体" w:cs="宋体"/>
          <w:b/>
          <w:color w:val="000000" w:themeColor="text1"/>
          <w:szCs w:val="21"/>
        </w:rPr>
      </w:pPr>
      <w:bookmarkStart w:id="83" w:name="_Toc21709"/>
      <w:bookmarkStart w:id="84" w:name="_Toc509321691"/>
      <w:r>
        <w:rPr>
          <w:rFonts w:ascii="宋体" w:cs="宋体"/>
          <w:b/>
          <w:color w:val="000000" w:themeColor="text1"/>
          <w:szCs w:val="21"/>
        </w:rPr>
        <w:t>2.3</w:t>
      </w:r>
      <w:r>
        <w:rPr>
          <w:rFonts w:hint="eastAsia" w:ascii="宋体" w:cs="宋体"/>
          <w:b/>
          <w:color w:val="000000" w:themeColor="text1"/>
          <w:szCs w:val="21"/>
        </w:rPr>
        <w:t>招标文件的修改</w:t>
      </w:r>
      <w:bookmarkEnd w:id="83"/>
      <w:bookmarkEnd w:id="84"/>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2.3.1 在投标截止时间15天前，招标人可以修改招标文件。如有修改，应在交易平台上发给所有购买招标文件的投标人。如果修改招标文件的时间距投标截止时间不足15天，相应延长投标截止时间。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2.3.2 投标人收到修改内容后，应在投标人须知前附表规定的时间内回复确认已收到该修改。</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2.3.3 投标人在投标截止时间前，应通过“电子交易平台”随时查看有关该工程招标文件的澄清、修改等内容。否则，其风险应由投标人自行承担。招标文件的澄清、修改、补充等内容均以网上答疑形式明确的内容为准。当招标文件的澄清、修改、补充等在同一内容的表述上不一致时，以最后发出的网上答疑为准。</w:t>
      </w:r>
    </w:p>
    <w:p>
      <w:pPr>
        <w:pStyle w:val="17"/>
        <w:numPr>
          <w:ilvl w:val="0"/>
          <w:numId w:val="0"/>
        </w:numPr>
        <w:tabs>
          <w:tab w:val="clear" w:pos="6096"/>
        </w:tabs>
        <w:spacing w:line="360" w:lineRule="auto"/>
        <w:jc w:val="left"/>
        <w:rPr>
          <w:rFonts w:ascii="宋体" w:cs="宋体"/>
          <w:b/>
          <w:color w:val="000000" w:themeColor="text1"/>
          <w:szCs w:val="21"/>
        </w:rPr>
      </w:pPr>
      <w:bookmarkStart w:id="85" w:name="_Toc509321692"/>
      <w:bookmarkStart w:id="86" w:name="_Toc17554"/>
      <w:r>
        <w:rPr>
          <w:rFonts w:ascii="宋体" w:cs="宋体"/>
          <w:b/>
          <w:color w:val="000000" w:themeColor="text1"/>
          <w:szCs w:val="21"/>
        </w:rPr>
        <w:t>2.4</w:t>
      </w:r>
      <w:r>
        <w:rPr>
          <w:rFonts w:hint="eastAsia" w:ascii="宋体" w:cs="宋体"/>
          <w:b/>
          <w:color w:val="000000" w:themeColor="text1"/>
          <w:szCs w:val="21"/>
        </w:rPr>
        <w:t>投标截止时间的推迟</w:t>
      </w:r>
      <w:bookmarkEnd w:id="85"/>
      <w:bookmarkEnd w:id="8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采购人可以视采购具体情况，延长投标截止时间和开标时间，但至少应当在招标文件要求提交投标文件的截止时间三日前，将变更时间书面通知所有招标文件收受人。</w:t>
      </w:r>
    </w:p>
    <w:p>
      <w:pPr>
        <w:pStyle w:val="17"/>
        <w:numPr>
          <w:ilvl w:val="0"/>
          <w:numId w:val="0"/>
        </w:numPr>
        <w:tabs>
          <w:tab w:val="clear" w:pos="6096"/>
        </w:tabs>
        <w:spacing w:line="360" w:lineRule="auto"/>
        <w:jc w:val="left"/>
        <w:rPr>
          <w:rFonts w:ascii="宋体" w:cs="宋体"/>
          <w:b/>
          <w:color w:val="000000" w:themeColor="text1"/>
          <w:szCs w:val="21"/>
        </w:rPr>
      </w:pPr>
      <w:bookmarkStart w:id="87" w:name="_Toc16615"/>
      <w:bookmarkStart w:id="88" w:name="_Toc509321693"/>
      <w:r>
        <w:rPr>
          <w:rFonts w:ascii="宋体" w:cs="宋体"/>
          <w:b/>
          <w:color w:val="000000" w:themeColor="text1"/>
          <w:szCs w:val="21"/>
        </w:rPr>
        <w:t>2.5</w:t>
      </w:r>
      <w:r>
        <w:rPr>
          <w:rFonts w:hint="eastAsia" w:ascii="宋体" w:cs="宋体"/>
          <w:b/>
          <w:color w:val="000000" w:themeColor="text1"/>
          <w:szCs w:val="21"/>
        </w:rPr>
        <w:t>招标文件的解释</w:t>
      </w:r>
      <w:bookmarkEnd w:id="87"/>
      <w:bookmarkEnd w:id="88"/>
    </w:p>
    <w:p>
      <w:pPr>
        <w:pStyle w:val="17"/>
        <w:numPr>
          <w:ilvl w:val="0"/>
          <w:numId w:val="0"/>
        </w:numPr>
        <w:tabs>
          <w:tab w:val="clear" w:pos="6096"/>
        </w:tabs>
        <w:spacing w:line="360" w:lineRule="auto"/>
        <w:ind w:firstLine="367" w:firstLineChars="175"/>
        <w:jc w:val="left"/>
        <w:rPr>
          <w:rFonts w:ascii="宋体" w:cs="宋体"/>
          <w:bCs/>
          <w:color w:val="000000" w:themeColor="text1"/>
          <w:szCs w:val="21"/>
        </w:rPr>
      </w:pPr>
      <w:r>
        <w:rPr>
          <w:rFonts w:hint="eastAsia" w:ascii="宋体" w:cs="宋体"/>
          <w:bCs/>
          <w:color w:val="000000" w:themeColor="text1"/>
          <w:szCs w:val="21"/>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bookmarkStart w:id="89" w:name="_Toc329271696"/>
      <w:bookmarkStart w:id="90" w:name="_Toc415738811"/>
    </w:p>
    <w:p>
      <w:pPr>
        <w:pStyle w:val="17"/>
        <w:numPr>
          <w:ilvl w:val="0"/>
          <w:numId w:val="0"/>
        </w:numPr>
        <w:tabs>
          <w:tab w:val="clear" w:pos="6096"/>
        </w:tabs>
        <w:spacing w:line="360" w:lineRule="auto"/>
        <w:jc w:val="left"/>
        <w:rPr>
          <w:rFonts w:ascii="宋体" w:cs="宋体"/>
          <w:b/>
          <w:color w:val="000000" w:themeColor="text1"/>
          <w:szCs w:val="21"/>
        </w:rPr>
      </w:pPr>
      <w:bookmarkStart w:id="91" w:name="_Toc28971"/>
      <w:bookmarkStart w:id="92" w:name="_Toc22597"/>
      <w:bookmarkStart w:id="93" w:name="_Toc3056"/>
      <w:bookmarkStart w:id="94" w:name="_Toc509321694"/>
      <w:bookmarkStart w:id="95" w:name="_Toc30651"/>
      <w:bookmarkStart w:id="96" w:name="_Toc492055562"/>
      <w:r>
        <w:rPr>
          <w:rFonts w:ascii="宋体" w:cs="宋体"/>
          <w:b/>
          <w:color w:val="000000" w:themeColor="text1"/>
          <w:szCs w:val="21"/>
        </w:rPr>
        <w:t>3.</w:t>
      </w:r>
      <w:r>
        <w:rPr>
          <w:rFonts w:hint="eastAsia" w:ascii="宋体" w:cs="宋体"/>
          <w:b/>
          <w:color w:val="000000" w:themeColor="text1"/>
          <w:szCs w:val="21"/>
        </w:rPr>
        <w:t>投标文件的编制</w:t>
      </w:r>
      <w:bookmarkEnd w:id="89"/>
      <w:bookmarkEnd w:id="90"/>
      <w:bookmarkEnd w:id="91"/>
      <w:bookmarkEnd w:id="92"/>
      <w:bookmarkEnd w:id="93"/>
      <w:bookmarkEnd w:id="94"/>
      <w:bookmarkEnd w:id="95"/>
      <w:bookmarkEnd w:id="96"/>
    </w:p>
    <w:p>
      <w:pPr>
        <w:pStyle w:val="17"/>
        <w:numPr>
          <w:ilvl w:val="0"/>
          <w:numId w:val="0"/>
        </w:numPr>
        <w:tabs>
          <w:tab w:val="clear" w:pos="6096"/>
        </w:tabs>
        <w:spacing w:line="360" w:lineRule="auto"/>
        <w:jc w:val="left"/>
        <w:rPr>
          <w:rFonts w:ascii="宋体" w:cs="宋体"/>
          <w:b/>
          <w:color w:val="000000" w:themeColor="text1"/>
          <w:szCs w:val="21"/>
        </w:rPr>
      </w:pPr>
      <w:bookmarkStart w:id="97" w:name="_Toc509321695"/>
      <w:bookmarkStart w:id="98" w:name="_Toc6149"/>
      <w:r>
        <w:rPr>
          <w:rFonts w:ascii="宋体" w:cs="宋体"/>
          <w:b/>
          <w:color w:val="000000" w:themeColor="text1"/>
          <w:szCs w:val="21"/>
        </w:rPr>
        <w:t>3.1</w:t>
      </w:r>
      <w:r>
        <w:rPr>
          <w:rFonts w:hint="eastAsia" w:ascii="宋体" w:cs="宋体"/>
          <w:b/>
          <w:color w:val="000000" w:themeColor="text1"/>
          <w:szCs w:val="21"/>
        </w:rPr>
        <w:t>特别说明</w:t>
      </w:r>
      <w:bookmarkEnd w:id="97"/>
      <w:bookmarkEnd w:id="98"/>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3.1.1 招标文件的合同条款的内容，如有要求满足的，均应完全满足。</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3.1.2 中标后采购人有权根据实际需要增减货物数量，但投标单价不变。</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3.1.3 投标人应用人民币报价。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3.1.4 投标人应仔细阅读招标文件的所有内容，按招标文件的要求和格式制作并提供投标文件；投标人应保证所提供的全部资料的真实性、准确性、有效性。</w:t>
      </w:r>
    </w:p>
    <w:p>
      <w:pPr>
        <w:pStyle w:val="17"/>
        <w:numPr>
          <w:ilvl w:val="0"/>
          <w:numId w:val="0"/>
        </w:numPr>
        <w:tabs>
          <w:tab w:val="clear" w:pos="6096"/>
        </w:tabs>
        <w:spacing w:line="360" w:lineRule="auto"/>
        <w:jc w:val="left"/>
        <w:rPr>
          <w:rFonts w:ascii="宋体" w:cs="宋体"/>
          <w:b/>
          <w:color w:val="000000" w:themeColor="text1"/>
          <w:szCs w:val="21"/>
        </w:rPr>
      </w:pPr>
      <w:bookmarkStart w:id="99" w:name="_Toc17973"/>
      <w:bookmarkStart w:id="100" w:name="_Toc509321696"/>
      <w:r>
        <w:rPr>
          <w:rFonts w:ascii="宋体" w:cs="宋体"/>
          <w:b/>
          <w:color w:val="000000" w:themeColor="text1"/>
          <w:szCs w:val="21"/>
        </w:rPr>
        <w:t>3.2</w:t>
      </w:r>
      <w:r>
        <w:rPr>
          <w:rFonts w:hint="eastAsia" w:ascii="宋体" w:cs="宋体"/>
          <w:b/>
          <w:color w:val="000000" w:themeColor="text1"/>
          <w:szCs w:val="21"/>
        </w:rPr>
        <w:t>投标语言及计量</w:t>
      </w:r>
      <w:bookmarkEnd w:id="99"/>
      <w:bookmarkEnd w:id="10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3.2.1 投标文件和来往函件应用中文书写，技术资料和印刷的文献可以使用英文，但应同时提交中文翻译本，英文材料与中文译文不一致时，应以中文为准。必要时采购代理机构可以要求提供附有公证书的翻译文件。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3.2.2 对违反上述规定情形的，采购代理机构有权根据本次采购投标人数量及采购人、评委的要求，决定要求其限期提供加盖公章的翻译文件或决定对其投标予以拒绝。</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3.2.3 除在招标文件的技术规格中另有规定外，计量单位应使用中华人民共和国法定计量单位。</w:t>
      </w:r>
    </w:p>
    <w:p>
      <w:pPr>
        <w:pStyle w:val="17"/>
        <w:numPr>
          <w:ilvl w:val="0"/>
          <w:numId w:val="0"/>
        </w:numPr>
        <w:tabs>
          <w:tab w:val="clear" w:pos="6096"/>
        </w:tabs>
        <w:spacing w:line="360" w:lineRule="auto"/>
        <w:jc w:val="left"/>
        <w:rPr>
          <w:rFonts w:ascii="宋体" w:cs="宋体"/>
          <w:b/>
          <w:color w:val="000000" w:themeColor="text1"/>
          <w:szCs w:val="21"/>
        </w:rPr>
      </w:pPr>
      <w:bookmarkStart w:id="101" w:name="_Toc509321697"/>
      <w:bookmarkStart w:id="102" w:name="_Toc13920"/>
      <w:r>
        <w:rPr>
          <w:rFonts w:ascii="宋体" w:cs="宋体"/>
          <w:b/>
          <w:color w:val="000000" w:themeColor="text1"/>
          <w:szCs w:val="21"/>
        </w:rPr>
        <w:t>3.3</w:t>
      </w:r>
      <w:r>
        <w:rPr>
          <w:rFonts w:hint="eastAsia" w:ascii="宋体" w:cs="宋体"/>
          <w:b/>
          <w:color w:val="000000" w:themeColor="text1"/>
          <w:szCs w:val="21"/>
        </w:rPr>
        <w:t>投标文件的组成</w:t>
      </w:r>
      <w:bookmarkEnd w:id="101"/>
      <w:bookmarkEnd w:id="102"/>
    </w:p>
    <w:p>
      <w:pPr>
        <w:spacing w:line="360" w:lineRule="auto"/>
        <w:ind w:firstLine="422" w:firstLineChars="200"/>
        <w:rPr>
          <w:rFonts w:ascii="宋体" w:hAnsi="宋体" w:cs="宋体"/>
          <w:b/>
          <w:bCs/>
          <w:color w:val="000000" w:themeColor="text1"/>
          <w:szCs w:val="21"/>
        </w:rPr>
      </w:pPr>
      <w:r>
        <w:rPr>
          <w:rFonts w:hint="eastAsia" w:ascii="宋体" w:hAnsi="宋体" w:cs="宋体"/>
          <w:b/>
          <w:bCs/>
          <w:color w:val="000000" w:themeColor="text1"/>
          <w:szCs w:val="21"/>
        </w:rPr>
        <w:t>3.3.1 投标文件中应包含但不限于下列内容：</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一、投标函及投标函附录</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二、分项报价</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三、法定代表人身份证明或法定代表人授权委托书</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四、技术条款偏离表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五、所投货物技术文件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六、优惠承诺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七、售后服务与技术培训</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八、综合材料</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九、投标保证金</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十、其他材料</w:t>
      </w:r>
    </w:p>
    <w:p>
      <w:pPr>
        <w:pStyle w:val="17"/>
        <w:numPr>
          <w:ilvl w:val="0"/>
          <w:numId w:val="0"/>
        </w:numPr>
        <w:tabs>
          <w:tab w:val="clear" w:pos="6096"/>
        </w:tabs>
        <w:spacing w:line="360" w:lineRule="auto"/>
        <w:jc w:val="left"/>
        <w:rPr>
          <w:rFonts w:ascii="宋体" w:cs="宋体"/>
          <w:b/>
          <w:color w:val="000000" w:themeColor="text1"/>
          <w:szCs w:val="21"/>
        </w:rPr>
      </w:pPr>
      <w:bookmarkStart w:id="103" w:name="_Toc3292"/>
      <w:bookmarkStart w:id="104" w:name="_Toc509321698"/>
      <w:r>
        <w:rPr>
          <w:rFonts w:ascii="宋体" w:cs="宋体"/>
          <w:b/>
          <w:color w:val="000000" w:themeColor="text1"/>
          <w:szCs w:val="21"/>
        </w:rPr>
        <w:t>3.4</w:t>
      </w:r>
      <w:r>
        <w:rPr>
          <w:rFonts w:hint="eastAsia" w:ascii="宋体" w:cs="宋体"/>
          <w:b/>
          <w:color w:val="000000" w:themeColor="text1"/>
          <w:szCs w:val="21"/>
        </w:rPr>
        <w:t>投标有效期</w:t>
      </w:r>
      <w:bookmarkEnd w:id="103"/>
      <w:bookmarkEnd w:id="104"/>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3.4.1 在投标人须知前附表规定的投标有效期内，投标人不得要求撤销或修改其投标文件。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3.4.2 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17"/>
        <w:numPr>
          <w:ilvl w:val="0"/>
          <w:numId w:val="0"/>
        </w:numPr>
        <w:tabs>
          <w:tab w:val="clear" w:pos="6096"/>
        </w:tabs>
        <w:spacing w:line="360" w:lineRule="auto"/>
        <w:jc w:val="left"/>
        <w:rPr>
          <w:rFonts w:ascii="宋体" w:cs="宋体"/>
          <w:b/>
          <w:color w:val="000000" w:themeColor="text1"/>
          <w:szCs w:val="21"/>
        </w:rPr>
      </w:pPr>
      <w:bookmarkStart w:id="105" w:name="_Toc509321699"/>
      <w:bookmarkStart w:id="106" w:name="_Toc3811"/>
      <w:r>
        <w:rPr>
          <w:rFonts w:ascii="宋体" w:cs="宋体"/>
          <w:b/>
          <w:color w:val="000000" w:themeColor="text1"/>
          <w:szCs w:val="21"/>
        </w:rPr>
        <w:t>3.5</w:t>
      </w:r>
      <w:r>
        <w:rPr>
          <w:rFonts w:hint="eastAsia" w:ascii="宋体" w:cs="宋体"/>
          <w:b/>
          <w:color w:val="000000" w:themeColor="text1"/>
          <w:szCs w:val="21"/>
        </w:rPr>
        <w:t>投标保证金</w:t>
      </w:r>
      <w:bookmarkEnd w:id="105"/>
      <w:bookmarkEnd w:id="10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3.5.1 投标人在递交投标文件的同时，应按投标人须知前附表规定的金额、担保形式和第六章“投标文件格式”规定的投标保证金格式递交投标保证金，并作为其投标文件的组成部分。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3.5.2 投标人不按本章第3.4.1项要求提交投标保证金的，其投标文件作废标处理。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3.5.3 招标人与中标人签订合同后5日内，向未中标的投标人和中标人退还投标保证金。</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3.5.4 有下列情形之一的，投标保证金将不予退还： </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（1）投标人在规定的投标有效期内撤销或修改其投标文件；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（2）中标人在收到中标通知书后，无正当理由拒签合同协议书或未按招标文件规定提交履约担保。</w:t>
      </w:r>
    </w:p>
    <w:p>
      <w:pPr>
        <w:pStyle w:val="17"/>
        <w:numPr>
          <w:ilvl w:val="0"/>
          <w:numId w:val="0"/>
        </w:numPr>
        <w:tabs>
          <w:tab w:val="clear" w:pos="6096"/>
        </w:tabs>
        <w:spacing w:line="360" w:lineRule="auto"/>
        <w:jc w:val="left"/>
        <w:rPr>
          <w:rFonts w:ascii="宋体" w:cs="宋体"/>
          <w:b/>
          <w:color w:val="000000" w:themeColor="text1"/>
          <w:szCs w:val="21"/>
        </w:rPr>
      </w:pPr>
      <w:bookmarkStart w:id="107" w:name="_Toc18697"/>
      <w:bookmarkStart w:id="108" w:name="_Toc509321700"/>
      <w:r>
        <w:rPr>
          <w:rFonts w:ascii="宋体" w:cs="宋体"/>
          <w:b/>
          <w:color w:val="000000" w:themeColor="text1"/>
          <w:szCs w:val="21"/>
        </w:rPr>
        <w:t>3.6</w:t>
      </w:r>
      <w:r>
        <w:rPr>
          <w:rFonts w:hint="eastAsia" w:ascii="宋体" w:cs="宋体"/>
          <w:b/>
          <w:color w:val="000000" w:themeColor="text1"/>
          <w:szCs w:val="21"/>
        </w:rPr>
        <w:t>备选投标方案</w:t>
      </w:r>
      <w:bookmarkEnd w:id="107"/>
      <w:bookmarkEnd w:id="108"/>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不允许提交备选投标方案。</w:t>
      </w:r>
    </w:p>
    <w:p>
      <w:pPr>
        <w:pStyle w:val="17"/>
        <w:numPr>
          <w:ilvl w:val="0"/>
          <w:numId w:val="0"/>
        </w:numPr>
        <w:tabs>
          <w:tab w:val="clear" w:pos="6096"/>
        </w:tabs>
        <w:spacing w:line="360" w:lineRule="auto"/>
        <w:jc w:val="left"/>
        <w:rPr>
          <w:rFonts w:ascii="宋体" w:cs="宋体"/>
          <w:b/>
          <w:color w:val="000000" w:themeColor="text1"/>
          <w:szCs w:val="21"/>
        </w:rPr>
      </w:pPr>
      <w:bookmarkStart w:id="109" w:name="_Toc509321701"/>
      <w:bookmarkStart w:id="110" w:name="_Toc10199"/>
      <w:r>
        <w:rPr>
          <w:rFonts w:ascii="宋体" w:cs="宋体"/>
          <w:b/>
          <w:color w:val="000000" w:themeColor="text1"/>
          <w:szCs w:val="21"/>
        </w:rPr>
        <w:t>3.7</w:t>
      </w:r>
      <w:r>
        <w:rPr>
          <w:rFonts w:hint="eastAsia" w:ascii="宋体" w:cs="宋体"/>
          <w:b/>
          <w:color w:val="000000" w:themeColor="text1"/>
          <w:szCs w:val="21"/>
        </w:rPr>
        <w:t>投标文件编制</w:t>
      </w:r>
      <w:bookmarkEnd w:id="109"/>
      <w:bookmarkEnd w:id="11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3.7.1 投标文件应按招标文件第六章提供的投标文件格式制作。</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3.7.2 为方便对投标文件的评审，投标人将任何不同于招标文件的技术规格和商务条款列于“偏离表”中，同时在“偏离表”中注明其他条款无偏离；若所有条款均无偏离也应逐条列出。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3.7.3 投标文件份数见投标人须知前附表。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3.7.4 在投标文件文件中存在伪造、变造资格、资质证书或者其他许可证件、业绩材料，虚假信息或以其他弄虚作假通过资格预审审查的，属于招投标法第五十四条规定的情节严重行为，资格审查通过无效。投标人应对所提供材料的真实性作出书面承诺并加盖单位公章后附于资格申请文件正本内，否则资格审查不予通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3.7.5 投标文件任何行间插字、涂改和增删，必须由法定代表人或其授权代表在旁边签字才有效。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3.7.6投标文件应当对招标文件有关供货期、投标有效期、质量要求、招标范围等实质性内容作出相应承诺及承担违约责任。</w:t>
      </w:r>
    </w:p>
    <w:p>
      <w:pPr>
        <w:spacing w:line="360" w:lineRule="auto"/>
        <w:ind w:firstLine="420" w:firstLineChars="200"/>
        <w:rPr>
          <w:rFonts w:ascii="宋体" w:cs="宋体"/>
          <w:color w:val="000000" w:themeColor="text1"/>
          <w:kern w:val="0"/>
          <w:szCs w:val="21"/>
        </w:rPr>
      </w:pPr>
      <w:r>
        <w:rPr>
          <w:rFonts w:hint="eastAsia" w:ascii="宋体" w:hAnsi="宋体" w:cs="宋体"/>
          <w:color w:val="000000" w:themeColor="text1"/>
          <w:szCs w:val="21"/>
        </w:rPr>
        <w:t>3.7.7 投标文件装订要求见投标人须知前附表。</w:t>
      </w:r>
    </w:p>
    <w:p>
      <w:pPr>
        <w:pStyle w:val="17"/>
        <w:numPr>
          <w:ilvl w:val="0"/>
          <w:numId w:val="0"/>
        </w:numPr>
        <w:tabs>
          <w:tab w:val="clear" w:pos="6096"/>
        </w:tabs>
        <w:spacing w:line="360" w:lineRule="auto"/>
        <w:jc w:val="left"/>
        <w:rPr>
          <w:rFonts w:ascii="宋体" w:cs="宋体"/>
          <w:b/>
          <w:color w:val="000000" w:themeColor="text1"/>
          <w:szCs w:val="21"/>
        </w:rPr>
      </w:pPr>
      <w:bookmarkStart w:id="111" w:name="_Toc14813"/>
      <w:bookmarkStart w:id="112" w:name="_Toc509321702"/>
      <w:r>
        <w:rPr>
          <w:rFonts w:ascii="宋体" w:cs="宋体"/>
          <w:b/>
          <w:color w:val="000000" w:themeColor="text1"/>
          <w:szCs w:val="21"/>
        </w:rPr>
        <w:t>3.8</w:t>
      </w:r>
      <w:r>
        <w:rPr>
          <w:rFonts w:hint="eastAsia" w:ascii="宋体" w:cs="宋体"/>
          <w:b/>
          <w:color w:val="000000" w:themeColor="text1"/>
          <w:szCs w:val="21"/>
        </w:rPr>
        <w:t>投标报价</w:t>
      </w:r>
      <w:bookmarkEnd w:id="111"/>
      <w:bookmarkEnd w:id="11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3.8.1 根据招标文件第四章技术参数及要求规定的供货和责任范围，投标人应对产品进行报价。投标报价应包括投标人中标后为完成招标文件规定的全部工作而发生的人工费、材料费、包装费、运费、搬运费、安装施工费等的全部成本、保险、税金及利润，并考虑了应承担的风险及相关费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3.8.2 投标人应按招标文件格式填写《投标报价明细表》。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3.8.3 如《投标报价明细表》中大写金额与小写金额不一致的，以大写金额为准；总价金额与单价金额不一致的，以单价金额为准，但单价金额小数点有明显错误的除外。</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3.8.4 采购人不接受备选方案，除非本招标文件另有规定，对任何一项产品或服务只能提供一个价格。采购人拒绝含可调整价格或可选择价格的投标。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3.8.5 除采购方案变更外，投标人的投标报价在合同执行过程中不得以任何理由予以变更。</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3.8.6 本项目招标控制价：见投标人须知前附表。</w:t>
      </w:r>
    </w:p>
    <w:p>
      <w:pPr>
        <w:pStyle w:val="17"/>
        <w:numPr>
          <w:ilvl w:val="0"/>
          <w:numId w:val="0"/>
        </w:numPr>
        <w:tabs>
          <w:tab w:val="clear" w:pos="6096"/>
        </w:tabs>
        <w:spacing w:line="360" w:lineRule="auto"/>
        <w:jc w:val="left"/>
        <w:rPr>
          <w:rFonts w:ascii="宋体" w:cs="宋体"/>
          <w:b/>
          <w:color w:val="000000" w:themeColor="text1"/>
          <w:szCs w:val="21"/>
        </w:rPr>
      </w:pPr>
      <w:bookmarkStart w:id="113" w:name="_Toc509321703"/>
      <w:bookmarkStart w:id="114" w:name="_Toc13802"/>
      <w:r>
        <w:rPr>
          <w:rFonts w:ascii="宋体" w:cs="宋体"/>
          <w:b/>
          <w:color w:val="000000" w:themeColor="text1"/>
          <w:szCs w:val="21"/>
        </w:rPr>
        <w:t>3.9</w:t>
      </w:r>
      <w:r>
        <w:rPr>
          <w:rFonts w:hint="eastAsia" w:ascii="宋体" w:cs="宋体"/>
          <w:b/>
          <w:color w:val="000000" w:themeColor="text1"/>
          <w:szCs w:val="21"/>
        </w:rPr>
        <w:t>投标货币</w:t>
      </w:r>
      <w:bookmarkEnd w:id="113"/>
      <w:bookmarkEnd w:id="114"/>
    </w:p>
    <w:p>
      <w:pPr>
        <w:spacing w:line="360" w:lineRule="auto"/>
        <w:ind w:firstLine="420" w:firstLineChars="200"/>
        <w:rPr>
          <w:rFonts w:ascii="宋体" w:hAnsi="宋体" w:cs="宋体"/>
          <w:color w:val="000000" w:themeColor="text1"/>
          <w:sz w:val="24"/>
        </w:rPr>
      </w:pPr>
      <w:r>
        <w:rPr>
          <w:rFonts w:hint="eastAsia" w:ascii="宋体" w:hAnsi="宋体" w:cs="宋体"/>
          <w:color w:val="000000" w:themeColor="text1"/>
          <w:szCs w:val="21"/>
        </w:rPr>
        <w:t>投标文件中，全部投标内容的报价，必须用人民币报价。</w:t>
      </w:r>
    </w:p>
    <w:p>
      <w:pPr>
        <w:pStyle w:val="17"/>
        <w:numPr>
          <w:ilvl w:val="0"/>
          <w:numId w:val="0"/>
        </w:numPr>
        <w:tabs>
          <w:tab w:val="clear" w:pos="6096"/>
        </w:tabs>
        <w:spacing w:line="360" w:lineRule="auto"/>
        <w:jc w:val="left"/>
        <w:rPr>
          <w:rFonts w:ascii="宋体" w:cs="宋体"/>
          <w:b/>
          <w:color w:val="000000" w:themeColor="text1"/>
          <w:szCs w:val="21"/>
        </w:rPr>
      </w:pPr>
      <w:bookmarkStart w:id="115" w:name="_Toc509321704"/>
      <w:bookmarkStart w:id="116" w:name="_Toc13080"/>
      <w:r>
        <w:rPr>
          <w:rFonts w:ascii="宋体" w:cs="宋体"/>
          <w:b/>
          <w:color w:val="000000" w:themeColor="text1"/>
          <w:szCs w:val="21"/>
        </w:rPr>
        <w:t>3.10</w:t>
      </w:r>
      <w:r>
        <w:rPr>
          <w:rFonts w:hint="eastAsia" w:ascii="宋体" w:cs="宋体"/>
          <w:b/>
          <w:color w:val="000000" w:themeColor="text1"/>
          <w:szCs w:val="21"/>
        </w:rPr>
        <w:t>证明产品的合格性和符合招标文件规定的文件</w:t>
      </w:r>
      <w:bookmarkEnd w:id="115"/>
      <w:bookmarkEnd w:id="11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3.10.1 投标人应提交证明文件证明其提供的产品和服务的合格性符合招标文件规定。该证明文件作为其投标文件的一部分。</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3.10.2 证明产品和服务与招标文件的要求相一致的文件，可以是文字资料、图纸和数据。</w:t>
      </w:r>
    </w:p>
    <w:p>
      <w:pPr>
        <w:pStyle w:val="17"/>
        <w:numPr>
          <w:ilvl w:val="0"/>
          <w:numId w:val="0"/>
        </w:numPr>
        <w:tabs>
          <w:tab w:val="clear" w:pos="6096"/>
        </w:tabs>
        <w:spacing w:line="360" w:lineRule="auto"/>
        <w:jc w:val="left"/>
        <w:rPr>
          <w:rFonts w:ascii="宋体" w:cs="宋体"/>
          <w:b/>
          <w:color w:val="000000" w:themeColor="text1"/>
          <w:szCs w:val="21"/>
        </w:rPr>
      </w:pPr>
      <w:bookmarkStart w:id="117" w:name="_Toc509321705"/>
      <w:bookmarkStart w:id="118" w:name="_Toc4220"/>
      <w:r>
        <w:rPr>
          <w:rFonts w:ascii="宋体" w:cs="宋体"/>
          <w:b/>
          <w:color w:val="000000" w:themeColor="text1"/>
          <w:szCs w:val="21"/>
        </w:rPr>
        <w:t>3.11</w:t>
      </w:r>
      <w:r>
        <w:rPr>
          <w:rFonts w:hint="eastAsia" w:ascii="宋体" w:cs="宋体"/>
          <w:b/>
          <w:color w:val="000000" w:themeColor="text1"/>
          <w:szCs w:val="21"/>
        </w:rPr>
        <w:t>知识产权</w:t>
      </w:r>
      <w:bookmarkEnd w:id="117"/>
      <w:bookmarkEnd w:id="118"/>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3.11.1 投标报价应包括所有需要向其他方支付的知识产权费用。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3.11.2 投标人应保证，采购人在中华人民共和国使用其提供的任何产品时，免受第三方提出的侵犯其专利权、商标权或其它知识产权的侵权指控，否则投标人应承担所有法律和经济责任，由此给采购人带来的损失全部由投标人承担。</w:t>
      </w:r>
    </w:p>
    <w:p>
      <w:pPr>
        <w:spacing w:line="360" w:lineRule="auto"/>
        <w:ind w:firstLine="420" w:firstLineChars="200"/>
        <w:rPr>
          <w:rFonts w:ascii="宋体" w:cs="宋体"/>
          <w:color w:val="000000" w:themeColor="text1"/>
          <w:sz w:val="24"/>
        </w:rPr>
      </w:pPr>
      <w:r>
        <w:rPr>
          <w:rFonts w:hint="eastAsia" w:ascii="宋体" w:hAnsi="宋体" w:cs="宋体"/>
          <w:color w:val="000000" w:themeColor="text1"/>
          <w:szCs w:val="21"/>
        </w:rPr>
        <w:t>3.11.3 本项目版权归采购人所有，采购人具有对其的完全处置权。</w:t>
      </w:r>
    </w:p>
    <w:p>
      <w:pPr>
        <w:pStyle w:val="17"/>
        <w:numPr>
          <w:ilvl w:val="0"/>
          <w:numId w:val="0"/>
        </w:numPr>
        <w:tabs>
          <w:tab w:val="clear" w:pos="6096"/>
        </w:tabs>
        <w:spacing w:line="360" w:lineRule="auto"/>
        <w:jc w:val="left"/>
        <w:rPr>
          <w:rFonts w:ascii="宋体" w:cs="宋体"/>
          <w:b/>
          <w:color w:val="000000" w:themeColor="text1"/>
          <w:szCs w:val="21"/>
        </w:rPr>
      </w:pPr>
      <w:bookmarkStart w:id="119" w:name="_Toc16050"/>
      <w:bookmarkStart w:id="120" w:name="_Toc9964"/>
      <w:bookmarkStart w:id="121" w:name="_Toc24905"/>
      <w:bookmarkStart w:id="122" w:name="_Toc509321706"/>
      <w:bookmarkStart w:id="123" w:name="_Toc29050"/>
      <w:bookmarkStart w:id="124" w:name="_Toc492055563"/>
      <w:r>
        <w:rPr>
          <w:rFonts w:ascii="宋体" w:cs="宋体"/>
          <w:b/>
          <w:color w:val="000000" w:themeColor="text1"/>
          <w:szCs w:val="21"/>
        </w:rPr>
        <w:t>4.</w:t>
      </w:r>
      <w:r>
        <w:rPr>
          <w:rFonts w:hint="eastAsia" w:ascii="宋体" w:cs="宋体"/>
          <w:b/>
          <w:color w:val="000000" w:themeColor="text1"/>
          <w:szCs w:val="21"/>
        </w:rPr>
        <w:t>投标</w:t>
      </w:r>
      <w:bookmarkEnd w:id="119"/>
      <w:bookmarkEnd w:id="120"/>
      <w:bookmarkEnd w:id="121"/>
      <w:bookmarkEnd w:id="122"/>
      <w:bookmarkEnd w:id="123"/>
      <w:bookmarkEnd w:id="124"/>
    </w:p>
    <w:p>
      <w:pPr>
        <w:pStyle w:val="17"/>
        <w:numPr>
          <w:ilvl w:val="0"/>
          <w:numId w:val="0"/>
        </w:numPr>
        <w:tabs>
          <w:tab w:val="clear" w:pos="6096"/>
        </w:tabs>
        <w:spacing w:line="360" w:lineRule="auto"/>
        <w:jc w:val="left"/>
        <w:rPr>
          <w:rFonts w:ascii="宋体" w:cs="宋体"/>
          <w:b/>
          <w:color w:val="000000" w:themeColor="text1"/>
          <w:szCs w:val="21"/>
        </w:rPr>
      </w:pPr>
      <w:bookmarkStart w:id="125" w:name="_Toc20830"/>
      <w:bookmarkStart w:id="126" w:name="_Toc509321707"/>
      <w:r>
        <w:rPr>
          <w:rFonts w:ascii="宋体" w:cs="宋体"/>
          <w:b/>
          <w:color w:val="000000" w:themeColor="text1"/>
          <w:szCs w:val="21"/>
        </w:rPr>
        <w:t>4.1</w:t>
      </w:r>
      <w:r>
        <w:rPr>
          <w:rFonts w:hint="eastAsia" w:ascii="宋体" w:cs="宋体"/>
          <w:b/>
          <w:color w:val="000000" w:themeColor="text1"/>
          <w:szCs w:val="21"/>
        </w:rPr>
        <w:t>投标文件的密封和标记</w:t>
      </w:r>
      <w:bookmarkEnd w:id="125"/>
      <w:bookmarkEnd w:id="12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4.1.1 投标人应将投标文件的正本、副本、电子版“U盘”应分开包装成三个包封，并在封套上分别注明正本、副本、电子版；开口处应加贴密封条，并加盖投标单位公章。</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4.1.2 投标文件的封套上应清楚地标记“正本”、“副本”或“电子版”字样，封套上应写明：</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采购人名称：</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u w:val="single"/>
        </w:rPr>
        <w:t xml:space="preserve">    （项目名称）                            </w:t>
      </w:r>
      <w:r>
        <w:rPr>
          <w:rFonts w:hint="eastAsia" w:ascii="宋体" w:hAnsi="宋体" w:cs="宋体"/>
          <w:color w:val="000000" w:themeColor="text1"/>
          <w:szCs w:val="21"/>
        </w:rPr>
        <w:t>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投标人名称：（盖章）</w:t>
      </w:r>
    </w:p>
    <w:p>
      <w:pPr>
        <w:spacing w:line="360" w:lineRule="auto"/>
        <w:ind w:firstLine="420" w:firstLineChars="200"/>
        <w:rPr>
          <w:rFonts w:ascii="宋体" w:hAnsi="宋体" w:cs="宋体"/>
          <w:color w:val="000000" w:themeColor="text1"/>
          <w:szCs w:val="21"/>
          <w:u w:val="single"/>
        </w:rPr>
      </w:pPr>
      <w:r>
        <w:rPr>
          <w:rFonts w:hint="eastAsia" w:ascii="宋体" w:hAnsi="宋体" w:cs="宋体"/>
          <w:color w:val="000000" w:themeColor="text1"/>
          <w:szCs w:val="21"/>
        </w:rPr>
        <w:t>公司地址：</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在2019年   月   日    时   分（开标时间）前不得开启</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4.1.3 如果外层封套未按投标人须知要求密封和加写标记，采购人将不予接收。</w:t>
      </w:r>
    </w:p>
    <w:p>
      <w:pPr>
        <w:pStyle w:val="17"/>
        <w:numPr>
          <w:ilvl w:val="0"/>
          <w:numId w:val="0"/>
        </w:numPr>
        <w:tabs>
          <w:tab w:val="clear" w:pos="6096"/>
        </w:tabs>
        <w:spacing w:line="360" w:lineRule="auto"/>
        <w:jc w:val="left"/>
        <w:rPr>
          <w:rFonts w:ascii="宋体" w:cs="宋体"/>
          <w:b/>
          <w:color w:val="000000" w:themeColor="text1"/>
          <w:szCs w:val="21"/>
        </w:rPr>
      </w:pPr>
      <w:bookmarkStart w:id="127" w:name="_Toc509321708"/>
      <w:bookmarkStart w:id="128" w:name="_Toc12325"/>
      <w:r>
        <w:rPr>
          <w:rFonts w:ascii="宋体" w:cs="宋体"/>
          <w:b/>
          <w:color w:val="000000" w:themeColor="text1"/>
          <w:szCs w:val="21"/>
        </w:rPr>
        <w:t>4.2</w:t>
      </w:r>
      <w:r>
        <w:rPr>
          <w:rFonts w:hint="eastAsia" w:ascii="宋体" w:cs="宋体"/>
          <w:b/>
          <w:color w:val="000000" w:themeColor="text1"/>
          <w:szCs w:val="21"/>
        </w:rPr>
        <w:t>投标文件的递交</w:t>
      </w:r>
      <w:bookmarkEnd w:id="127"/>
      <w:bookmarkEnd w:id="128"/>
    </w:p>
    <w:p>
      <w:pPr>
        <w:spacing w:line="360" w:lineRule="auto"/>
        <w:ind w:firstLine="420" w:firstLineChars="200"/>
        <w:rPr>
          <w:rFonts w:ascii="宋体" w:hAnsi="宋体" w:cs="宋体"/>
          <w:color w:val="000000" w:themeColor="text1"/>
          <w:szCs w:val="21"/>
        </w:rPr>
      </w:pPr>
      <w:bookmarkStart w:id="129" w:name="_Toc17243"/>
      <w:r>
        <w:rPr>
          <w:rFonts w:hint="eastAsia" w:ascii="宋体" w:hAnsi="宋体" w:cs="宋体"/>
          <w:color w:val="000000" w:themeColor="text1"/>
          <w:szCs w:val="21"/>
        </w:rPr>
        <w:t>4.2.1 投标人应按投标须知前附表规定的投标截止时间前递交投标文件。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4.2.2 投标人递交投标文件的地点：见投标人须知前附表。</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4.2.3 除投标人须知前附表另有规定外，投标人所递交的投标文件不予退还。</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4.2.4 采购人收到投标文件后，向投标人出具签收凭证。</w:t>
      </w:r>
    </w:p>
    <w:p>
      <w:pPr>
        <w:spacing w:line="360" w:lineRule="auto"/>
        <w:ind w:firstLine="420" w:firstLineChars="200"/>
        <w:rPr>
          <w:rFonts w:ascii="宋体" w:cs="宋体"/>
          <w:color w:val="000000" w:themeColor="text1"/>
          <w:sz w:val="24"/>
        </w:rPr>
      </w:pPr>
      <w:r>
        <w:rPr>
          <w:rFonts w:hint="eastAsia" w:ascii="宋体" w:hAnsi="宋体" w:cs="宋体"/>
          <w:color w:val="000000" w:themeColor="text1"/>
          <w:szCs w:val="21"/>
        </w:rPr>
        <w:t>4.2.5逾期送达的或者未送达指定地点的投标文件，采购人不予受理。</w:t>
      </w:r>
    </w:p>
    <w:p>
      <w:pPr>
        <w:pStyle w:val="17"/>
        <w:numPr>
          <w:ilvl w:val="0"/>
          <w:numId w:val="0"/>
        </w:numPr>
        <w:tabs>
          <w:tab w:val="clear" w:pos="6096"/>
        </w:tabs>
        <w:spacing w:line="360" w:lineRule="auto"/>
        <w:jc w:val="left"/>
        <w:rPr>
          <w:rFonts w:ascii="宋体" w:cs="宋体"/>
          <w:b/>
          <w:color w:val="000000" w:themeColor="text1"/>
          <w:szCs w:val="21"/>
        </w:rPr>
      </w:pPr>
      <w:bookmarkStart w:id="130" w:name="_Toc509321709"/>
      <w:r>
        <w:rPr>
          <w:rFonts w:ascii="宋体" w:cs="宋体"/>
          <w:b/>
          <w:color w:val="000000" w:themeColor="text1"/>
          <w:szCs w:val="21"/>
        </w:rPr>
        <w:t>4.3</w:t>
      </w:r>
      <w:r>
        <w:rPr>
          <w:rFonts w:hint="eastAsia" w:ascii="宋体" w:cs="宋体"/>
          <w:b/>
          <w:color w:val="000000" w:themeColor="text1"/>
          <w:szCs w:val="21"/>
        </w:rPr>
        <w:t>若出现以下情况，采购人将拒绝接收投标文件：</w:t>
      </w:r>
      <w:bookmarkEnd w:id="129"/>
      <w:bookmarkEnd w:id="13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4.3.1 逾期送达或未在指定地点递交投标文件的；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4.3.2 投标文件未按招标文件要求密封和标记的。</w:t>
      </w:r>
    </w:p>
    <w:p>
      <w:pPr>
        <w:pStyle w:val="17"/>
        <w:numPr>
          <w:ilvl w:val="0"/>
          <w:numId w:val="0"/>
        </w:numPr>
        <w:tabs>
          <w:tab w:val="clear" w:pos="6096"/>
        </w:tabs>
        <w:spacing w:line="360" w:lineRule="auto"/>
        <w:jc w:val="left"/>
        <w:rPr>
          <w:rFonts w:ascii="宋体" w:cs="宋体"/>
          <w:b/>
          <w:color w:val="000000" w:themeColor="text1"/>
          <w:szCs w:val="21"/>
        </w:rPr>
      </w:pPr>
      <w:bookmarkStart w:id="131" w:name="_Toc509321710"/>
      <w:bookmarkStart w:id="132" w:name="_Toc24390"/>
      <w:r>
        <w:rPr>
          <w:rFonts w:ascii="宋体" w:cs="宋体"/>
          <w:b/>
          <w:color w:val="000000" w:themeColor="text1"/>
          <w:szCs w:val="21"/>
        </w:rPr>
        <w:t>4.4</w:t>
      </w:r>
      <w:r>
        <w:rPr>
          <w:rFonts w:hint="eastAsia" w:ascii="宋体" w:cs="宋体"/>
          <w:b/>
          <w:color w:val="000000" w:themeColor="text1"/>
          <w:szCs w:val="21"/>
        </w:rPr>
        <w:t>投标文件的补充、修改或撤回</w:t>
      </w:r>
      <w:bookmarkEnd w:id="131"/>
      <w:bookmarkEnd w:id="13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4.4.1 投标人在递交投标文件后，可以补充、修改或撤回其投标文件，但应确保采购代理机构在规定的投标截止日期之前，收到这些文件的书面通知。</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4.4.2 投标人的修改或撤回通知书应按本须知的规定编写、密封、标记和递交。</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4.4.3 在投标截止时间之后，投标人不得对其投标文件做任何修改。</w:t>
      </w:r>
    </w:p>
    <w:p>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4.4.4 从投标截止时间至投标有效期之间的这段时间内，投标人不得撤回其投标，否则其投标保证金将按规定被没收。</w:t>
      </w:r>
    </w:p>
    <w:p>
      <w:pPr>
        <w:pStyle w:val="17"/>
        <w:numPr>
          <w:ilvl w:val="0"/>
          <w:numId w:val="0"/>
        </w:numPr>
        <w:tabs>
          <w:tab w:val="clear" w:pos="6096"/>
        </w:tabs>
        <w:spacing w:line="360" w:lineRule="auto"/>
        <w:jc w:val="left"/>
        <w:rPr>
          <w:rFonts w:ascii="宋体" w:cs="宋体"/>
          <w:b/>
          <w:color w:val="000000" w:themeColor="text1"/>
          <w:szCs w:val="21"/>
        </w:rPr>
      </w:pPr>
      <w:bookmarkStart w:id="133" w:name="_Toc20663"/>
      <w:bookmarkStart w:id="134" w:name="_Toc26827"/>
      <w:bookmarkStart w:id="135" w:name="_Toc329271698"/>
      <w:bookmarkStart w:id="136" w:name="_Toc19192"/>
      <w:bookmarkStart w:id="137" w:name="_Toc509321711"/>
      <w:bookmarkStart w:id="138" w:name="_Toc18462"/>
      <w:bookmarkStart w:id="139" w:name="_Toc415738813"/>
      <w:bookmarkStart w:id="140" w:name="_Toc11964"/>
      <w:bookmarkStart w:id="141" w:name="_Toc7756"/>
      <w:bookmarkStart w:id="142" w:name="_Toc492055564"/>
      <w:r>
        <w:rPr>
          <w:rFonts w:ascii="宋体" w:cs="宋体"/>
          <w:b/>
          <w:color w:val="000000" w:themeColor="text1"/>
          <w:szCs w:val="21"/>
        </w:rPr>
        <w:t>5.</w:t>
      </w:r>
      <w:r>
        <w:rPr>
          <w:rFonts w:hint="eastAsia" w:ascii="宋体" w:cs="宋体"/>
          <w:b/>
          <w:color w:val="000000" w:themeColor="text1"/>
          <w:szCs w:val="21"/>
        </w:rPr>
        <w:t>开标</w:t>
      </w:r>
      <w:bookmarkEnd w:id="133"/>
      <w:bookmarkEnd w:id="134"/>
      <w:bookmarkEnd w:id="135"/>
      <w:bookmarkEnd w:id="136"/>
      <w:bookmarkEnd w:id="137"/>
      <w:bookmarkEnd w:id="138"/>
      <w:bookmarkEnd w:id="139"/>
      <w:bookmarkEnd w:id="140"/>
      <w:bookmarkEnd w:id="141"/>
      <w:bookmarkEnd w:id="142"/>
    </w:p>
    <w:p>
      <w:pPr>
        <w:pStyle w:val="17"/>
        <w:numPr>
          <w:ilvl w:val="0"/>
          <w:numId w:val="0"/>
        </w:numPr>
        <w:tabs>
          <w:tab w:val="clear" w:pos="6096"/>
        </w:tabs>
        <w:spacing w:line="360" w:lineRule="auto"/>
        <w:jc w:val="left"/>
        <w:rPr>
          <w:rFonts w:ascii="宋体" w:cs="宋体"/>
          <w:b/>
          <w:color w:val="000000" w:themeColor="text1"/>
          <w:szCs w:val="21"/>
        </w:rPr>
      </w:pPr>
      <w:bookmarkStart w:id="143" w:name="_Toc11930"/>
      <w:bookmarkStart w:id="144" w:name="_Toc509321712"/>
      <w:r>
        <w:rPr>
          <w:rFonts w:ascii="宋体" w:cs="宋体"/>
          <w:b/>
          <w:color w:val="000000" w:themeColor="text1"/>
          <w:szCs w:val="21"/>
        </w:rPr>
        <w:t>5.1</w:t>
      </w:r>
      <w:r>
        <w:rPr>
          <w:rFonts w:hint="eastAsia" w:ascii="宋体" w:cs="宋体"/>
          <w:b/>
          <w:color w:val="000000" w:themeColor="text1"/>
          <w:szCs w:val="21"/>
        </w:rPr>
        <w:t>一般说明</w:t>
      </w:r>
      <w:bookmarkEnd w:id="143"/>
      <w:bookmarkEnd w:id="144"/>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5.1.1 本次招标开标会议在投标人须知前附表规定的时间和地点进行。投标人递交投标文件时须提供法定代表人或法定代表人授权代表携带的法人授权委托书、身份证参加会议，否则采购人和采购代理机构有权拒收其投标文件。</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5.1.2 投标文件有下列情形之一的，采购人和代理机构将不予受理</w:t>
      </w:r>
    </w:p>
    <w:p>
      <w:pPr>
        <w:spacing w:line="360" w:lineRule="auto"/>
        <w:ind w:firstLine="420" w:firstLineChars="200"/>
        <w:rPr>
          <w:rFonts w:ascii="宋体" w:hAnsi="宋体" w:cs="宋体"/>
          <w:color w:val="000000" w:themeColor="text1"/>
          <w:szCs w:val="21"/>
        </w:rPr>
      </w:pPr>
      <w:bookmarkStart w:id="145" w:name="_Ref19437"/>
      <w:r>
        <w:rPr>
          <w:rFonts w:hint="eastAsia" w:ascii="宋体" w:hAnsi="宋体" w:cs="宋体"/>
          <w:color w:val="000000" w:themeColor="text1"/>
          <w:szCs w:val="21"/>
        </w:rPr>
        <w:t>（1）投标截止时间后送达的；</w:t>
      </w:r>
      <w:bookmarkEnd w:id="145"/>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（2）未按招标文件要求密封及签章的。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（3）未提供法定代表人或法定代表人授权代表携带的法人授权委托书、身份证的。</w:t>
      </w:r>
    </w:p>
    <w:p>
      <w:pPr>
        <w:pStyle w:val="17"/>
        <w:numPr>
          <w:ilvl w:val="0"/>
          <w:numId w:val="0"/>
        </w:numPr>
        <w:tabs>
          <w:tab w:val="clear" w:pos="6096"/>
        </w:tabs>
        <w:spacing w:line="360" w:lineRule="auto"/>
        <w:jc w:val="left"/>
        <w:rPr>
          <w:rFonts w:ascii="宋体" w:cs="宋体"/>
          <w:b/>
          <w:color w:val="000000" w:themeColor="text1"/>
          <w:szCs w:val="21"/>
        </w:rPr>
      </w:pPr>
      <w:bookmarkStart w:id="146" w:name="_Toc509321713"/>
      <w:bookmarkStart w:id="147" w:name="_Toc17537"/>
      <w:r>
        <w:rPr>
          <w:rFonts w:ascii="宋体" w:cs="宋体"/>
          <w:b/>
          <w:color w:val="000000" w:themeColor="text1"/>
          <w:szCs w:val="21"/>
        </w:rPr>
        <w:t>5.2</w:t>
      </w:r>
      <w:r>
        <w:rPr>
          <w:rFonts w:hint="eastAsia" w:ascii="宋体" w:cs="宋体"/>
          <w:b/>
          <w:color w:val="000000" w:themeColor="text1"/>
          <w:szCs w:val="21"/>
        </w:rPr>
        <w:t>开标程序</w:t>
      </w:r>
      <w:bookmarkEnd w:id="146"/>
      <w:bookmarkEnd w:id="147"/>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主持人按下列程序进行开标： </w:t>
      </w:r>
    </w:p>
    <w:p>
      <w:pPr>
        <w:spacing w:line="360" w:lineRule="auto"/>
        <w:ind w:firstLine="420" w:firstLineChars="200"/>
        <w:rPr>
          <w:rFonts w:ascii="宋体" w:hAnsi="宋体" w:cs="宋体"/>
          <w:color w:val="000000" w:themeColor="text1"/>
          <w:szCs w:val="21"/>
        </w:rPr>
      </w:pPr>
      <w:bookmarkStart w:id="148" w:name="_Toc492055565"/>
      <w:bookmarkStart w:id="149" w:name="_Toc24963"/>
      <w:r>
        <w:rPr>
          <w:rFonts w:hint="eastAsia" w:ascii="宋体" w:hAnsi="宋体" w:cs="宋体"/>
          <w:color w:val="000000" w:themeColor="text1"/>
          <w:szCs w:val="21"/>
        </w:rPr>
        <w:t>（1）宣布开标纪律；</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（2）公布在投标截止时间前递交投标文件的投标人；</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（3）宣布监标人等有关人员姓名；</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（4）按照投标人须知前附表规定检查投标文件的密封情况；</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（5）按照投标人须知前附表的规定确定并宣布投标文件启封及开标顺序；</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（6）按照宣布的开标顺序当众开标，公布投标人名称等投标函附录中有必要公布的内容，并记录在案；</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（7）投标人代表、等有关人员在开标记录上签字确认；</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（8）开标结束。</w:t>
      </w:r>
    </w:p>
    <w:p>
      <w:pPr>
        <w:pStyle w:val="17"/>
        <w:numPr>
          <w:ilvl w:val="0"/>
          <w:numId w:val="0"/>
        </w:numPr>
        <w:tabs>
          <w:tab w:val="clear" w:pos="6096"/>
        </w:tabs>
        <w:spacing w:line="360" w:lineRule="auto"/>
        <w:jc w:val="left"/>
        <w:rPr>
          <w:rFonts w:ascii="宋体" w:cs="宋体"/>
          <w:b/>
          <w:color w:val="000000" w:themeColor="text1"/>
          <w:szCs w:val="21"/>
        </w:rPr>
      </w:pPr>
      <w:bookmarkStart w:id="150" w:name="_Toc509321714"/>
      <w:r>
        <w:rPr>
          <w:rFonts w:ascii="宋体" w:cs="宋体"/>
          <w:b/>
          <w:color w:val="000000" w:themeColor="text1"/>
          <w:szCs w:val="21"/>
        </w:rPr>
        <w:t>6.</w:t>
      </w:r>
      <w:r>
        <w:rPr>
          <w:rFonts w:hint="eastAsia" w:ascii="宋体" w:cs="宋体"/>
          <w:b/>
          <w:color w:val="000000" w:themeColor="text1"/>
          <w:szCs w:val="21"/>
        </w:rPr>
        <w:t>评标</w:t>
      </w:r>
      <w:bookmarkEnd w:id="148"/>
      <w:bookmarkEnd w:id="149"/>
      <w:bookmarkEnd w:id="150"/>
    </w:p>
    <w:p>
      <w:pPr>
        <w:pStyle w:val="17"/>
        <w:numPr>
          <w:ilvl w:val="0"/>
          <w:numId w:val="0"/>
        </w:numPr>
        <w:tabs>
          <w:tab w:val="clear" w:pos="6096"/>
        </w:tabs>
        <w:spacing w:line="360" w:lineRule="auto"/>
        <w:jc w:val="left"/>
        <w:rPr>
          <w:rFonts w:ascii="宋体" w:cs="宋体"/>
          <w:b/>
          <w:color w:val="000000" w:themeColor="text1"/>
          <w:szCs w:val="21"/>
        </w:rPr>
      </w:pPr>
      <w:bookmarkStart w:id="151" w:name="_Toc509321715"/>
      <w:r>
        <w:rPr>
          <w:rFonts w:ascii="宋体" w:cs="宋体"/>
          <w:b/>
          <w:color w:val="000000" w:themeColor="text1"/>
          <w:szCs w:val="21"/>
        </w:rPr>
        <w:t xml:space="preserve">6.1 </w:t>
      </w:r>
      <w:r>
        <w:rPr>
          <w:rFonts w:hint="eastAsia" w:ascii="宋体" w:cs="宋体"/>
          <w:b/>
          <w:color w:val="000000" w:themeColor="text1"/>
          <w:szCs w:val="21"/>
        </w:rPr>
        <w:t>评标委员会组成</w:t>
      </w:r>
      <w:bookmarkEnd w:id="151"/>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6.1.1 评标由采购人依法组建的评标委员会负责。</w:t>
      </w:r>
    </w:p>
    <w:p>
      <w:pPr>
        <w:spacing w:line="360" w:lineRule="auto"/>
        <w:ind w:firstLine="420" w:firstLineChars="200"/>
        <w:rPr>
          <w:rFonts w:ascii="宋体"/>
          <w:color w:val="000000" w:themeColor="text1"/>
          <w:szCs w:val="21"/>
        </w:rPr>
      </w:pPr>
      <w:r>
        <w:rPr>
          <w:rFonts w:hint="eastAsia" w:ascii="宋体" w:hAnsi="宋体" w:cs="宋体"/>
          <w:color w:val="000000" w:themeColor="text1"/>
          <w:szCs w:val="21"/>
        </w:rPr>
        <w:t>评标委员会的组建：</w:t>
      </w:r>
      <w:r>
        <w:rPr>
          <w:rFonts w:hint="eastAsia" w:ascii="宋体"/>
          <w:color w:val="000000" w:themeColor="text1"/>
          <w:szCs w:val="21"/>
        </w:rPr>
        <w:t>评标委员会由采购人代表1人，经济、技术方面有关的专家4人组成，共</w:t>
      </w:r>
      <w:r>
        <w:rPr>
          <w:rFonts w:ascii="宋体"/>
          <w:color w:val="000000" w:themeColor="text1"/>
          <w:szCs w:val="21"/>
        </w:rPr>
        <w:t>5</w:t>
      </w:r>
      <w:r>
        <w:rPr>
          <w:rFonts w:hint="eastAsia" w:ascii="宋体"/>
          <w:color w:val="000000" w:themeColor="text1"/>
          <w:szCs w:val="21"/>
        </w:rPr>
        <w:t>人，经济、技术方面有关的专家从评标专家库中随机抽取。</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6.1.2 评标委员会成员有下列情形之一的，应当回避：</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（1）采购人或投标人的主要负责人的近亲属；</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（2）项目主管部门或者行政监督部门的人员；</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（3）与投标人有经济利益关系，可能影响对投标公正评审的；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（4）曾因在招标、评标以及其他与招标投标有关活动中从事违法行为而受过行政处罚或刑事处罚的。</w:t>
      </w:r>
    </w:p>
    <w:p>
      <w:pPr>
        <w:pStyle w:val="17"/>
        <w:numPr>
          <w:ilvl w:val="0"/>
          <w:numId w:val="0"/>
        </w:numPr>
        <w:tabs>
          <w:tab w:val="clear" w:pos="6096"/>
        </w:tabs>
        <w:spacing w:line="360" w:lineRule="auto"/>
        <w:jc w:val="left"/>
        <w:rPr>
          <w:rFonts w:ascii="宋体" w:cs="宋体"/>
          <w:b/>
          <w:color w:val="000000" w:themeColor="text1"/>
          <w:szCs w:val="21"/>
        </w:rPr>
      </w:pPr>
      <w:bookmarkStart w:id="152" w:name="_Toc509321716"/>
      <w:r>
        <w:rPr>
          <w:rFonts w:ascii="宋体" w:cs="宋体"/>
          <w:b/>
          <w:color w:val="000000" w:themeColor="text1"/>
          <w:szCs w:val="21"/>
        </w:rPr>
        <w:t xml:space="preserve">6.2 </w:t>
      </w:r>
      <w:r>
        <w:rPr>
          <w:rFonts w:hint="eastAsia" w:ascii="宋体" w:cs="宋体"/>
          <w:b/>
          <w:color w:val="000000" w:themeColor="text1"/>
          <w:szCs w:val="21"/>
        </w:rPr>
        <w:t>评标原则</w:t>
      </w:r>
      <w:bookmarkEnd w:id="152"/>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评标活动遵循公平、公正、科学和择优的原则。</w:t>
      </w:r>
    </w:p>
    <w:p>
      <w:pPr>
        <w:pStyle w:val="17"/>
        <w:numPr>
          <w:ilvl w:val="0"/>
          <w:numId w:val="0"/>
        </w:numPr>
        <w:tabs>
          <w:tab w:val="clear" w:pos="6096"/>
        </w:tabs>
        <w:spacing w:line="360" w:lineRule="auto"/>
        <w:jc w:val="left"/>
        <w:rPr>
          <w:rFonts w:ascii="宋体" w:cs="宋体"/>
          <w:b/>
          <w:color w:val="000000" w:themeColor="text1"/>
          <w:szCs w:val="21"/>
        </w:rPr>
      </w:pPr>
      <w:bookmarkStart w:id="153" w:name="_Toc509321717"/>
      <w:r>
        <w:rPr>
          <w:rFonts w:ascii="宋体" w:cs="宋体"/>
          <w:b/>
          <w:color w:val="000000" w:themeColor="text1"/>
          <w:szCs w:val="21"/>
        </w:rPr>
        <w:t xml:space="preserve">6.3 </w:t>
      </w:r>
      <w:r>
        <w:rPr>
          <w:rFonts w:hint="eastAsia" w:ascii="宋体" w:cs="宋体"/>
          <w:b/>
          <w:color w:val="000000" w:themeColor="text1"/>
          <w:szCs w:val="21"/>
        </w:rPr>
        <w:t>评标</w:t>
      </w:r>
      <w:bookmarkEnd w:id="153"/>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评标委员会按照第三章“评标办法”规定的方法、评审因素、标准和程序对投标文件进行评审。第三章“评标办法”没有规定的方法、评审因素和标准，不作为评标依据。   </w:t>
      </w:r>
      <w:bookmarkStart w:id="154" w:name="_Toc10531"/>
      <w:bookmarkStart w:id="155" w:name="_Toc329271699"/>
      <w:bookmarkStart w:id="156" w:name="_Toc17013"/>
      <w:bookmarkStart w:id="157" w:name="_Toc23015"/>
      <w:bookmarkStart w:id="158" w:name="_Toc415738814"/>
      <w:bookmarkStart w:id="159" w:name="_Toc13479"/>
      <w:bookmarkStart w:id="160" w:name="_Toc15855"/>
    </w:p>
    <w:p>
      <w:pPr>
        <w:pStyle w:val="17"/>
        <w:numPr>
          <w:ilvl w:val="0"/>
          <w:numId w:val="0"/>
        </w:numPr>
        <w:tabs>
          <w:tab w:val="clear" w:pos="6096"/>
        </w:tabs>
        <w:spacing w:line="360" w:lineRule="auto"/>
        <w:jc w:val="left"/>
        <w:rPr>
          <w:rFonts w:ascii="宋体" w:cs="宋体"/>
          <w:b/>
          <w:color w:val="000000" w:themeColor="text1"/>
          <w:szCs w:val="21"/>
        </w:rPr>
      </w:pPr>
      <w:bookmarkStart w:id="161" w:name="_Toc5322"/>
      <w:bookmarkStart w:id="162" w:name="_Toc509321718"/>
      <w:bookmarkStart w:id="163" w:name="_Toc492055566"/>
      <w:r>
        <w:rPr>
          <w:rFonts w:ascii="宋体" w:cs="宋体"/>
          <w:b/>
          <w:color w:val="000000" w:themeColor="text1"/>
          <w:szCs w:val="21"/>
        </w:rPr>
        <w:t>7.</w:t>
      </w:r>
      <w:r>
        <w:rPr>
          <w:rFonts w:hint="eastAsia" w:ascii="宋体" w:cs="宋体"/>
          <w:b/>
          <w:color w:val="000000" w:themeColor="text1"/>
          <w:szCs w:val="21"/>
        </w:rPr>
        <w:t>合同授予</w:t>
      </w:r>
      <w:bookmarkEnd w:id="154"/>
      <w:bookmarkEnd w:id="155"/>
      <w:bookmarkEnd w:id="156"/>
      <w:bookmarkEnd w:id="157"/>
      <w:bookmarkEnd w:id="158"/>
      <w:bookmarkEnd w:id="159"/>
      <w:bookmarkEnd w:id="160"/>
      <w:bookmarkEnd w:id="161"/>
      <w:bookmarkEnd w:id="162"/>
      <w:bookmarkEnd w:id="163"/>
    </w:p>
    <w:p>
      <w:pPr>
        <w:pStyle w:val="17"/>
        <w:numPr>
          <w:ilvl w:val="0"/>
          <w:numId w:val="0"/>
        </w:numPr>
        <w:tabs>
          <w:tab w:val="clear" w:pos="6096"/>
        </w:tabs>
        <w:spacing w:line="360" w:lineRule="auto"/>
        <w:jc w:val="left"/>
        <w:rPr>
          <w:rFonts w:ascii="宋体" w:cs="宋体"/>
          <w:b/>
          <w:color w:val="000000" w:themeColor="text1"/>
          <w:szCs w:val="21"/>
        </w:rPr>
      </w:pPr>
      <w:bookmarkStart w:id="164" w:name="_Toc10434"/>
      <w:bookmarkStart w:id="165" w:name="_Toc509321719"/>
      <w:bookmarkStart w:id="166" w:name="_Toc20053"/>
      <w:bookmarkStart w:id="167" w:name="_Toc21382"/>
      <w:bookmarkStart w:id="168" w:name="_Toc329271700"/>
      <w:bookmarkStart w:id="169" w:name="_Toc415738815"/>
      <w:bookmarkStart w:id="170" w:name="_Toc29457"/>
      <w:bookmarkStart w:id="171" w:name="_Toc29425"/>
      <w:bookmarkStart w:id="172" w:name="_Toc21718"/>
      <w:r>
        <w:rPr>
          <w:rFonts w:ascii="宋体" w:cs="宋体"/>
          <w:b/>
          <w:color w:val="000000" w:themeColor="text1"/>
          <w:szCs w:val="21"/>
        </w:rPr>
        <w:t xml:space="preserve">7.1 </w:t>
      </w:r>
      <w:r>
        <w:rPr>
          <w:rFonts w:hint="eastAsia" w:ascii="宋体" w:cs="宋体"/>
          <w:b/>
          <w:color w:val="000000" w:themeColor="text1"/>
          <w:szCs w:val="21"/>
        </w:rPr>
        <w:t>定标方式</w:t>
      </w:r>
      <w:bookmarkEnd w:id="164"/>
      <w:bookmarkEnd w:id="165"/>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除投标人须知前附表规定评标委员会直接确定中标人外，采购人依据评标委员会推荐的中标候选人确定中标人，评标委员会推荐中标候选人的人数见投标人须知前附表。</w:t>
      </w:r>
    </w:p>
    <w:p>
      <w:pPr>
        <w:pStyle w:val="17"/>
        <w:numPr>
          <w:ilvl w:val="0"/>
          <w:numId w:val="0"/>
        </w:numPr>
        <w:tabs>
          <w:tab w:val="clear" w:pos="6096"/>
        </w:tabs>
        <w:spacing w:line="360" w:lineRule="auto"/>
        <w:jc w:val="left"/>
        <w:rPr>
          <w:rFonts w:ascii="宋体" w:cs="宋体"/>
          <w:b/>
          <w:color w:val="000000" w:themeColor="text1"/>
          <w:szCs w:val="21"/>
        </w:rPr>
      </w:pPr>
      <w:bookmarkStart w:id="173" w:name="_Toc15713"/>
      <w:bookmarkStart w:id="174" w:name="_Toc509321720"/>
      <w:r>
        <w:rPr>
          <w:rFonts w:ascii="宋体" w:cs="宋体"/>
          <w:b/>
          <w:color w:val="000000" w:themeColor="text1"/>
          <w:szCs w:val="21"/>
        </w:rPr>
        <w:t xml:space="preserve">7.2 </w:t>
      </w:r>
      <w:r>
        <w:rPr>
          <w:rFonts w:hint="eastAsia" w:ascii="宋体" w:cs="宋体"/>
          <w:b/>
          <w:color w:val="000000" w:themeColor="text1"/>
          <w:szCs w:val="21"/>
        </w:rPr>
        <w:t>中标通知</w:t>
      </w:r>
      <w:bookmarkEnd w:id="173"/>
      <w:bookmarkEnd w:id="174"/>
    </w:p>
    <w:p>
      <w:pPr>
        <w:pStyle w:val="17"/>
        <w:numPr>
          <w:ilvl w:val="0"/>
          <w:numId w:val="0"/>
        </w:numPr>
        <w:tabs>
          <w:tab w:val="clear" w:pos="6096"/>
        </w:tabs>
        <w:spacing w:line="360" w:lineRule="auto"/>
        <w:ind w:firstLine="420" w:firstLineChars="200"/>
        <w:jc w:val="left"/>
        <w:rPr>
          <w:rFonts w:ascii="宋体" w:cs="宋体"/>
          <w:color w:val="000000" w:themeColor="text1"/>
          <w:szCs w:val="21"/>
        </w:rPr>
      </w:pPr>
      <w:bookmarkStart w:id="175" w:name="_Toc8064"/>
      <w:bookmarkStart w:id="176" w:name="_Toc509321722"/>
      <w:r>
        <w:rPr>
          <w:rFonts w:hint="eastAsia" w:ascii="宋体" w:cs="宋体"/>
          <w:color w:val="000000" w:themeColor="text1"/>
          <w:szCs w:val="21"/>
        </w:rPr>
        <w:t>在本章第3.4 款规定的投标有效期内，招标代理机构以书面形式向中标人发出中标通知书，同时将中标结果通知未中标的投标人。</w:t>
      </w:r>
    </w:p>
    <w:p>
      <w:pPr>
        <w:pStyle w:val="17"/>
        <w:numPr>
          <w:ilvl w:val="0"/>
          <w:numId w:val="0"/>
        </w:numPr>
        <w:tabs>
          <w:tab w:val="clear" w:pos="6096"/>
        </w:tabs>
        <w:spacing w:line="360" w:lineRule="auto"/>
        <w:jc w:val="left"/>
        <w:rPr>
          <w:rFonts w:ascii="宋体" w:cs="宋体"/>
          <w:b/>
          <w:color w:val="000000" w:themeColor="text1"/>
          <w:szCs w:val="21"/>
        </w:rPr>
      </w:pPr>
      <w:r>
        <w:rPr>
          <w:rFonts w:ascii="宋体" w:cs="宋体"/>
          <w:b/>
          <w:color w:val="000000" w:themeColor="text1"/>
          <w:szCs w:val="21"/>
        </w:rPr>
        <w:t>7.</w:t>
      </w:r>
      <w:r>
        <w:rPr>
          <w:rFonts w:hint="eastAsia" w:ascii="宋体" w:cs="宋体"/>
          <w:b/>
          <w:color w:val="000000" w:themeColor="text1"/>
          <w:szCs w:val="21"/>
        </w:rPr>
        <w:t>3签订合同</w:t>
      </w:r>
      <w:bookmarkEnd w:id="175"/>
      <w:bookmarkEnd w:id="176"/>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7.3.1 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pPr>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7.3.2 发出中标通知书后，采购人无正当理由拒签合同的，采购人向中标人退还投标保证金；给中标人造成损失的，还应当赔偿损失。</w:t>
      </w:r>
    </w:p>
    <w:p>
      <w:pPr>
        <w:pStyle w:val="17"/>
        <w:numPr>
          <w:ilvl w:val="0"/>
          <w:numId w:val="0"/>
        </w:numPr>
        <w:tabs>
          <w:tab w:val="clear" w:pos="6096"/>
        </w:tabs>
        <w:spacing w:line="360" w:lineRule="auto"/>
        <w:jc w:val="left"/>
        <w:rPr>
          <w:rFonts w:ascii="宋体" w:cs="宋体"/>
          <w:b/>
          <w:color w:val="000000" w:themeColor="text1"/>
          <w:szCs w:val="21"/>
        </w:rPr>
      </w:pPr>
      <w:bookmarkStart w:id="177" w:name="_Toc3640"/>
      <w:bookmarkStart w:id="178" w:name="_Toc509321723"/>
      <w:bookmarkStart w:id="179" w:name="_Toc492055567"/>
      <w:r>
        <w:rPr>
          <w:rFonts w:ascii="宋体" w:cs="宋体"/>
          <w:b/>
          <w:color w:val="000000" w:themeColor="text1"/>
          <w:szCs w:val="21"/>
        </w:rPr>
        <w:t>8.</w:t>
      </w:r>
      <w:r>
        <w:rPr>
          <w:rFonts w:hint="eastAsia" w:ascii="宋体" w:cs="宋体"/>
          <w:b/>
          <w:color w:val="000000" w:themeColor="text1"/>
          <w:szCs w:val="21"/>
        </w:rPr>
        <w:t>重新招标</w:t>
      </w:r>
      <w:bookmarkEnd w:id="166"/>
      <w:bookmarkEnd w:id="167"/>
      <w:bookmarkEnd w:id="168"/>
      <w:bookmarkEnd w:id="169"/>
      <w:bookmarkEnd w:id="170"/>
      <w:bookmarkEnd w:id="171"/>
      <w:bookmarkEnd w:id="172"/>
      <w:r>
        <w:rPr>
          <w:rFonts w:hint="eastAsia" w:ascii="宋体" w:cs="宋体"/>
          <w:b/>
          <w:color w:val="000000" w:themeColor="text1"/>
          <w:szCs w:val="21"/>
        </w:rPr>
        <w:t>和不再招标</w:t>
      </w:r>
      <w:bookmarkEnd w:id="177"/>
      <w:bookmarkEnd w:id="178"/>
      <w:bookmarkEnd w:id="179"/>
    </w:p>
    <w:p>
      <w:pPr>
        <w:pStyle w:val="17"/>
        <w:numPr>
          <w:ilvl w:val="0"/>
          <w:numId w:val="0"/>
        </w:numPr>
        <w:tabs>
          <w:tab w:val="clear" w:pos="6096"/>
        </w:tabs>
        <w:spacing w:line="360" w:lineRule="auto"/>
        <w:jc w:val="left"/>
        <w:rPr>
          <w:rFonts w:ascii="宋体" w:cs="宋体"/>
          <w:b/>
          <w:color w:val="000000" w:themeColor="text1"/>
          <w:szCs w:val="21"/>
        </w:rPr>
      </w:pPr>
      <w:bookmarkStart w:id="180" w:name="_Toc4214"/>
      <w:bookmarkStart w:id="181" w:name="_Toc509321724"/>
      <w:bookmarkStart w:id="182" w:name="_Toc32070"/>
      <w:bookmarkStart w:id="183" w:name="_Toc25075"/>
      <w:bookmarkStart w:id="184" w:name="_Toc213"/>
      <w:bookmarkStart w:id="185" w:name="_Toc4190"/>
      <w:bookmarkStart w:id="186" w:name="_Toc24767"/>
      <w:bookmarkStart w:id="187" w:name="_Toc329271701"/>
      <w:bookmarkStart w:id="188" w:name="_Toc415738816"/>
      <w:r>
        <w:rPr>
          <w:rFonts w:ascii="宋体" w:cs="宋体"/>
          <w:b/>
          <w:color w:val="000000" w:themeColor="text1"/>
          <w:szCs w:val="21"/>
        </w:rPr>
        <w:t xml:space="preserve">8.1 </w:t>
      </w:r>
      <w:r>
        <w:rPr>
          <w:rFonts w:hint="eastAsia" w:ascii="宋体" w:cs="宋体"/>
          <w:b/>
          <w:color w:val="000000" w:themeColor="text1"/>
          <w:szCs w:val="21"/>
        </w:rPr>
        <w:t>重新招标</w:t>
      </w:r>
      <w:bookmarkEnd w:id="180"/>
      <w:bookmarkEnd w:id="181"/>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有下列情形之一的，采购人将重新招标：</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（1）投标截止时间止，投标人少于3个的；</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（2）经评标委员会评审后否决所有投标的。</w:t>
      </w:r>
    </w:p>
    <w:p>
      <w:pPr>
        <w:pStyle w:val="17"/>
        <w:numPr>
          <w:ilvl w:val="0"/>
          <w:numId w:val="0"/>
        </w:numPr>
        <w:tabs>
          <w:tab w:val="clear" w:pos="6096"/>
        </w:tabs>
        <w:spacing w:line="360" w:lineRule="auto"/>
        <w:jc w:val="left"/>
        <w:rPr>
          <w:rFonts w:ascii="宋体" w:cs="宋体"/>
          <w:b/>
          <w:color w:val="000000" w:themeColor="text1"/>
          <w:szCs w:val="21"/>
        </w:rPr>
      </w:pPr>
      <w:bookmarkStart w:id="189" w:name="_Toc32698"/>
      <w:bookmarkStart w:id="190" w:name="_Toc509321725"/>
      <w:r>
        <w:rPr>
          <w:rFonts w:ascii="宋体" w:cs="宋体"/>
          <w:b/>
          <w:color w:val="000000" w:themeColor="text1"/>
          <w:szCs w:val="21"/>
        </w:rPr>
        <w:t xml:space="preserve">8.2 </w:t>
      </w:r>
      <w:r>
        <w:rPr>
          <w:rFonts w:hint="eastAsia" w:ascii="宋体" w:cs="宋体"/>
          <w:b/>
          <w:color w:val="000000" w:themeColor="text1"/>
          <w:szCs w:val="21"/>
        </w:rPr>
        <w:t>不再招标</w:t>
      </w:r>
      <w:bookmarkEnd w:id="189"/>
      <w:bookmarkEnd w:id="190"/>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重新招标后投标人仍少于3个或者所有投标被否决的，属于必须审批或核准的工程建设项目，经原审批或核准部门批准后不再进行招标。</w:t>
      </w:r>
    </w:p>
    <w:p>
      <w:pPr>
        <w:pStyle w:val="17"/>
        <w:numPr>
          <w:ilvl w:val="0"/>
          <w:numId w:val="0"/>
        </w:numPr>
        <w:tabs>
          <w:tab w:val="clear" w:pos="6096"/>
        </w:tabs>
        <w:spacing w:line="360" w:lineRule="auto"/>
        <w:jc w:val="left"/>
        <w:rPr>
          <w:rFonts w:ascii="宋体" w:cs="宋体"/>
          <w:b/>
          <w:color w:val="000000" w:themeColor="text1"/>
          <w:szCs w:val="21"/>
        </w:rPr>
      </w:pPr>
      <w:bookmarkStart w:id="191" w:name="_Toc492055568"/>
      <w:bookmarkStart w:id="192" w:name="_Toc509321726"/>
      <w:bookmarkStart w:id="193" w:name="_Toc27751"/>
      <w:r>
        <w:rPr>
          <w:rFonts w:ascii="宋体" w:cs="宋体"/>
          <w:b/>
          <w:color w:val="000000" w:themeColor="text1"/>
          <w:szCs w:val="21"/>
        </w:rPr>
        <w:t>9.</w:t>
      </w:r>
      <w:r>
        <w:rPr>
          <w:rFonts w:hint="eastAsia" w:ascii="宋体" w:cs="宋体"/>
          <w:b/>
          <w:color w:val="000000" w:themeColor="text1"/>
          <w:szCs w:val="21"/>
        </w:rPr>
        <w:t>纪律要求、投诉、监督、质疑、处罚</w:t>
      </w:r>
      <w:bookmarkEnd w:id="182"/>
      <w:bookmarkEnd w:id="183"/>
      <w:bookmarkEnd w:id="184"/>
      <w:bookmarkEnd w:id="185"/>
      <w:bookmarkEnd w:id="186"/>
      <w:bookmarkEnd w:id="187"/>
      <w:bookmarkEnd w:id="188"/>
      <w:bookmarkEnd w:id="191"/>
      <w:bookmarkEnd w:id="192"/>
      <w:bookmarkEnd w:id="193"/>
    </w:p>
    <w:p>
      <w:pPr>
        <w:pStyle w:val="17"/>
        <w:numPr>
          <w:ilvl w:val="0"/>
          <w:numId w:val="0"/>
        </w:numPr>
        <w:tabs>
          <w:tab w:val="clear" w:pos="6096"/>
        </w:tabs>
        <w:spacing w:line="360" w:lineRule="auto"/>
        <w:jc w:val="left"/>
        <w:rPr>
          <w:rFonts w:ascii="宋体" w:cs="宋体"/>
          <w:b/>
          <w:color w:val="000000" w:themeColor="text1"/>
          <w:szCs w:val="21"/>
        </w:rPr>
      </w:pPr>
      <w:bookmarkStart w:id="194" w:name="_Toc24992"/>
      <w:bookmarkStart w:id="195" w:name="_Toc509321727"/>
      <w:r>
        <w:rPr>
          <w:rFonts w:ascii="宋体" w:cs="宋体"/>
          <w:b/>
          <w:color w:val="000000" w:themeColor="text1"/>
          <w:szCs w:val="21"/>
        </w:rPr>
        <w:t>9.1</w:t>
      </w:r>
      <w:r>
        <w:rPr>
          <w:rFonts w:hint="eastAsia" w:ascii="宋体" w:cs="宋体"/>
          <w:b/>
          <w:color w:val="000000" w:themeColor="text1"/>
          <w:szCs w:val="21"/>
        </w:rPr>
        <w:t>对采购人的纪律要求</w:t>
      </w:r>
      <w:bookmarkEnd w:id="194"/>
      <w:bookmarkEnd w:id="195"/>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采购人不得泄漏招标投标活动中应当保密的情况和资料，不得与投标人串通损害国家利益、社会公共利益或者他人合法权益。</w:t>
      </w:r>
    </w:p>
    <w:p>
      <w:pPr>
        <w:pStyle w:val="17"/>
        <w:numPr>
          <w:ilvl w:val="0"/>
          <w:numId w:val="0"/>
        </w:numPr>
        <w:tabs>
          <w:tab w:val="clear" w:pos="6096"/>
        </w:tabs>
        <w:spacing w:line="360" w:lineRule="auto"/>
        <w:jc w:val="left"/>
        <w:rPr>
          <w:rFonts w:ascii="宋体" w:cs="宋体"/>
          <w:b/>
          <w:color w:val="000000" w:themeColor="text1"/>
          <w:szCs w:val="21"/>
        </w:rPr>
      </w:pPr>
      <w:bookmarkStart w:id="196" w:name="_Toc509321728"/>
      <w:bookmarkStart w:id="197" w:name="_Toc20521"/>
      <w:r>
        <w:rPr>
          <w:rFonts w:ascii="宋体" w:cs="宋体"/>
          <w:b/>
          <w:color w:val="000000" w:themeColor="text1"/>
          <w:szCs w:val="21"/>
        </w:rPr>
        <w:t>9.2</w:t>
      </w:r>
      <w:r>
        <w:rPr>
          <w:rFonts w:hint="eastAsia" w:ascii="宋体" w:cs="宋体"/>
          <w:b/>
          <w:color w:val="000000" w:themeColor="text1"/>
          <w:szCs w:val="21"/>
        </w:rPr>
        <w:t>对投标人的纪律要求</w:t>
      </w:r>
      <w:bookmarkEnd w:id="196"/>
      <w:bookmarkEnd w:id="197"/>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17"/>
        <w:numPr>
          <w:ilvl w:val="0"/>
          <w:numId w:val="0"/>
        </w:numPr>
        <w:tabs>
          <w:tab w:val="clear" w:pos="6096"/>
        </w:tabs>
        <w:spacing w:line="360" w:lineRule="auto"/>
        <w:jc w:val="left"/>
        <w:rPr>
          <w:rFonts w:ascii="宋体" w:cs="宋体"/>
          <w:b/>
          <w:color w:val="000000" w:themeColor="text1"/>
          <w:szCs w:val="21"/>
        </w:rPr>
      </w:pPr>
      <w:bookmarkStart w:id="198" w:name="_Toc23079"/>
      <w:bookmarkStart w:id="199" w:name="_Toc509321729"/>
      <w:r>
        <w:rPr>
          <w:rFonts w:ascii="宋体" w:cs="宋体"/>
          <w:b/>
          <w:color w:val="000000" w:themeColor="text1"/>
          <w:szCs w:val="21"/>
        </w:rPr>
        <w:t>9.3</w:t>
      </w:r>
      <w:r>
        <w:rPr>
          <w:rFonts w:hint="eastAsia" w:ascii="宋体" w:cs="宋体"/>
          <w:b/>
          <w:color w:val="000000" w:themeColor="text1"/>
          <w:szCs w:val="21"/>
        </w:rPr>
        <w:t>对评标委员会成员的纪律要求</w:t>
      </w:r>
      <w:bookmarkEnd w:id="198"/>
      <w:bookmarkEnd w:id="199"/>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17"/>
        <w:numPr>
          <w:ilvl w:val="0"/>
          <w:numId w:val="0"/>
        </w:numPr>
        <w:tabs>
          <w:tab w:val="clear" w:pos="6096"/>
        </w:tabs>
        <w:spacing w:line="360" w:lineRule="auto"/>
        <w:jc w:val="left"/>
        <w:rPr>
          <w:rFonts w:ascii="宋体" w:cs="宋体"/>
          <w:b/>
          <w:color w:val="000000" w:themeColor="text1"/>
          <w:szCs w:val="21"/>
        </w:rPr>
      </w:pPr>
      <w:bookmarkStart w:id="200" w:name="_Toc15057"/>
      <w:bookmarkStart w:id="201" w:name="_Toc509321730"/>
      <w:r>
        <w:rPr>
          <w:rFonts w:ascii="宋体" w:cs="宋体"/>
          <w:b/>
          <w:color w:val="000000" w:themeColor="text1"/>
          <w:szCs w:val="21"/>
        </w:rPr>
        <w:t>9.4</w:t>
      </w:r>
      <w:r>
        <w:rPr>
          <w:rFonts w:hint="eastAsia" w:ascii="宋体" w:cs="宋体"/>
          <w:b/>
          <w:color w:val="000000" w:themeColor="text1"/>
          <w:szCs w:val="21"/>
        </w:rPr>
        <w:t>对与评标活动有关的工作人员的纪律要求</w:t>
      </w:r>
      <w:bookmarkEnd w:id="200"/>
      <w:bookmarkEnd w:id="201"/>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7"/>
        <w:numPr>
          <w:ilvl w:val="0"/>
          <w:numId w:val="0"/>
        </w:numPr>
        <w:tabs>
          <w:tab w:val="clear" w:pos="6096"/>
        </w:tabs>
        <w:spacing w:line="360" w:lineRule="auto"/>
        <w:jc w:val="left"/>
        <w:rPr>
          <w:rFonts w:ascii="宋体" w:cs="宋体"/>
          <w:b/>
          <w:color w:val="000000" w:themeColor="text1"/>
          <w:szCs w:val="21"/>
        </w:rPr>
      </w:pPr>
      <w:bookmarkStart w:id="202" w:name="_Toc509321731"/>
      <w:bookmarkStart w:id="203" w:name="_Toc24212"/>
      <w:r>
        <w:rPr>
          <w:rFonts w:ascii="宋体" w:cs="宋体"/>
          <w:b/>
          <w:color w:val="000000" w:themeColor="text1"/>
          <w:szCs w:val="21"/>
        </w:rPr>
        <w:t>9.5</w:t>
      </w:r>
      <w:r>
        <w:rPr>
          <w:rFonts w:hint="eastAsia" w:ascii="宋体" w:cs="宋体"/>
          <w:b/>
          <w:color w:val="000000" w:themeColor="text1"/>
          <w:szCs w:val="21"/>
        </w:rPr>
        <w:t>投诉</w:t>
      </w:r>
      <w:bookmarkEnd w:id="202"/>
      <w:bookmarkEnd w:id="203"/>
    </w:p>
    <w:p>
      <w:pPr>
        <w:pStyle w:val="17"/>
        <w:numPr>
          <w:ilvl w:val="0"/>
          <w:numId w:val="0"/>
        </w:numPr>
        <w:tabs>
          <w:tab w:val="clear" w:pos="6096"/>
        </w:tabs>
        <w:spacing w:line="360" w:lineRule="auto"/>
        <w:ind w:firstLine="420" w:firstLineChars="200"/>
        <w:jc w:val="left"/>
        <w:rPr>
          <w:rFonts w:ascii="宋体" w:cs="宋体"/>
          <w:color w:val="000000" w:themeColor="text1"/>
          <w:szCs w:val="21"/>
        </w:rPr>
      </w:pPr>
      <w:r>
        <w:rPr>
          <w:rFonts w:hint="eastAsia" w:ascii="宋体" w:cs="宋体"/>
          <w:color w:val="000000" w:themeColor="text1"/>
          <w:szCs w:val="21"/>
        </w:rPr>
        <w:t>投标人和其他利害关系人认为本次招标活动违反法律、法规和规章规定的，有权向采购人相关监督部门投诉、实名举报。各有关当事人对本次招标活动有异议的，请在公示期内，由法定代表人或授权授权委托人携带本人身份证（原件）劳动合同，社保证明及企业营业执照副本原件，以书面形式向代理机构和采购人提出质疑（加盖单位公章且法人签字，邮寄、传真件不予受理）。逾期未提交或未按照要求提交的质疑函将不予受理。各相关当事人对评标结果有异议的，必须提供相应证明材料，否则采购代理机构和采购人不予受理。未先进行异议的，投诉不予受理。</w:t>
      </w:r>
    </w:p>
    <w:p>
      <w:pPr>
        <w:pStyle w:val="3"/>
        <w:rPr>
          <w:rFonts w:hint="eastAsia"/>
          <w:color w:val="000000" w:themeColor="text1"/>
          <w:szCs w:val="32"/>
        </w:rPr>
      </w:pPr>
      <w:bookmarkStart w:id="204" w:name="_Toc509393051"/>
      <w:bookmarkStart w:id="205" w:name="_Toc509321732"/>
      <w:bookmarkStart w:id="206" w:name="_Toc505243175"/>
      <w:r>
        <w:rPr>
          <w:rFonts w:hint="eastAsia"/>
          <w:color w:val="000000" w:themeColor="text1"/>
          <w:szCs w:val="32"/>
        </w:rPr>
        <w:br w:type="page"/>
      </w:r>
    </w:p>
    <w:p>
      <w:pPr>
        <w:pStyle w:val="3"/>
        <w:rPr>
          <w:color w:val="000000" w:themeColor="text1"/>
          <w:szCs w:val="32"/>
        </w:rPr>
      </w:pPr>
      <w:r>
        <w:rPr>
          <w:rFonts w:hint="eastAsia"/>
          <w:color w:val="000000" w:themeColor="text1"/>
          <w:szCs w:val="32"/>
        </w:rPr>
        <w:t>第三章评标办法（综合评估法）</w:t>
      </w:r>
      <w:bookmarkEnd w:id="204"/>
      <w:bookmarkEnd w:id="205"/>
      <w:bookmarkEnd w:id="206"/>
    </w:p>
    <w:p>
      <w:pPr>
        <w:pStyle w:val="2"/>
        <w:jc w:val="center"/>
        <w:rPr>
          <w:rFonts w:ascii="宋体" w:hAnsi="宋体"/>
          <w:color w:val="000000" w:themeColor="text1"/>
          <w:kern w:val="0"/>
          <w:sz w:val="24"/>
        </w:rPr>
      </w:pPr>
      <w:bookmarkStart w:id="207" w:name="_Toc179632617"/>
      <w:bookmarkStart w:id="208" w:name="_Toc247085757"/>
      <w:bookmarkStart w:id="209" w:name="_Toc152045599"/>
      <w:bookmarkStart w:id="210" w:name="_Toc509393052"/>
      <w:bookmarkStart w:id="211" w:name="_Toc152042376"/>
      <w:bookmarkStart w:id="212" w:name="_Toc246996242"/>
      <w:bookmarkStart w:id="213" w:name="_Toc296602487"/>
      <w:bookmarkStart w:id="214" w:name="_Toc246996985"/>
      <w:bookmarkStart w:id="215" w:name="_Toc144974566"/>
      <w:bookmarkStart w:id="216" w:name="_Toc509321733"/>
      <w:r>
        <w:rPr>
          <w:rFonts w:hint="eastAsia" w:ascii="宋体" w:hAnsi="宋体"/>
          <w:color w:val="000000" w:themeColor="text1"/>
          <w:kern w:val="0"/>
          <w:sz w:val="24"/>
        </w:rPr>
        <w:t>评标办法前附表</w:t>
      </w:r>
      <w:bookmarkEnd w:id="207"/>
      <w:bookmarkEnd w:id="208"/>
      <w:bookmarkEnd w:id="209"/>
      <w:bookmarkEnd w:id="210"/>
      <w:bookmarkEnd w:id="211"/>
      <w:bookmarkEnd w:id="212"/>
      <w:bookmarkEnd w:id="213"/>
      <w:bookmarkEnd w:id="214"/>
      <w:bookmarkEnd w:id="215"/>
      <w:bookmarkEnd w:id="216"/>
    </w:p>
    <w:tbl>
      <w:tblPr>
        <w:tblStyle w:val="14"/>
        <w:tblW w:w="9215"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
        <w:gridCol w:w="885"/>
        <w:gridCol w:w="1690"/>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tblHeader/>
          <w:jc w:val="center"/>
        </w:trPr>
        <w:tc>
          <w:tcPr>
            <w:tcW w:w="9215" w:type="dxa"/>
            <w:gridSpan w:val="4"/>
            <w:vAlign w:val="center"/>
          </w:tcPr>
          <w:p>
            <w:pPr>
              <w:jc w:val="left"/>
              <w:rPr>
                <w:rFonts w:ascii="宋体" w:cs="宋体"/>
                <w:color w:val="000000" w:themeColor="text1"/>
                <w:szCs w:val="21"/>
              </w:rPr>
            </w:pPr>
            <w:bookmarkStart w:id="217" w:name="_Toc30989"/>
            <w:bookmarkStart w:id="218" w:name="_Toc5174"/>
            <w:bookmarkStart w:id="219" w:name="_Toc414209266"/>
            <w:bookmarkStart w:id="220" w:name="_Toc32320"/>
            <w:bookmarkStart w:id="221" w:name="_Toc3886"/>
            <w:bookmarkStart w:id="222" w:name="_Toc415738823"/>
            <w:bookmarkStart w:id="223" w:name="_Toc414209699"/>
            <w:bookmarkStart w:id="224" w:name="_Toc15701"/>
            <w:bookmarkStart w:id="225" w:name="_Toc4804"/>
            <w:bookmarkStart w:id="226" w:name="_Toc9695"/>
            <w:bookmarkStart w:id="227" w:name="_Toc22263"/>
            <w:bookmarkStart w:id="228" w:name="_Toc27185"/>
            <w:r>
              <w:rPr>
                <w:rFonts w:ascii="宋体" w:hAnsi="宋体" w:cs="宋体"/>
                <w:b/>
                <w:bCs/>
                <w:color w:val="000000" w:themeColor="text1"/>
                <w:szCs w:val="21"/>
              </w:rPr>
              <w:t xml:space="preserve">2.1 </w:t>
            </w:r>
            <w:r>
              <w:rPr>
                <w:rFonts w:hint="eastAsia" w:ascii="宋体" w:hAnsi="宋体" w:cs="宋体"/>
                <w:b/>
                <w:bCs/>
                <w:color w:val="000000" w:themeColor="text1"/>
                <w:szCs w:val="21"/>
              </w:rPr>
              <w:t>初步评审表</w:t>
            </w:r>
            <w:bookmarkEnd w:id="217"/>
            <w:bookmarkEnd w:id="218"/>
            <w:bookmarkEnd w:id="219"/>
            <w:bookmarkEnd w:id="220"/>
            <w:bookmarkEnd w:id="221"/>
            <w:bookmarkEnd w:id="222"/>
            <w:bookmarkEnd w:id="223"/>
            <w:bookmarkEnd w:id="224"/>
            <w:bookmarkEnd w:id="225"/>
            <w:bookmarkEnd w:id="226"/>
            <w:bookmarkEnd w:id="227"/>
            <w:bookmarkEnd w:id="2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tblHeader/>
          <w:jc w:val="center"/>
        </w:trPr>
        <w:tc>
          <w:tcPr>
            <w:tcW w:w="1778" w:type="dxa"/>
            <w:gridSpan w:val="2"/>
            <w:vAlign w:val="center"/>
          </w:tcPr>
          <w:p>
            <w:pPr>
              <w:jc w:val="center"/>
              <w:rPr>
                <w:rFonts w:ascii="宋体" w:cs="宋体"/>
                <w:b/>
                <w:color w:val="000000" w:themeColor="text1"/>
                <w:szCs w:val="21"/>
              </w:rPr>
            </w:pPr>
            <w:r>
              <w:rPr>
                <w:rFonts w:hint="eastAsia" w:ascii="宋体" w:hAnsi="宋体" w:cs="宋体"/>
                <w:b/>
                <w:color w:val="000000" w:themeColor="text1"/>
                <w:szCs w:val="21"/>
              </w:rPr>
              <w:t>条款号</w:t>
            </w:r>
          </w:p>
        </w:tc>
        <w:tc>
          <w:tcPr>
            <w:tcW w:w="1690" w:type="dxa"/>
            <w:vAlign w:val="center"/>
          </w:tcPr>
          <w:p>
            <w:pPr>
              <w:jc w:val="center"/>
              <w:rPr>
                <w:rFonts w:ascii="宋体" w:cs="宋体"/>
                <w:b/>
                <w:color w:val="000000" w:themeColor="text1"/>
                <w:szCs w:val="21"/>
              </w:rPr>
            </w:pPr>
            <w:r>
              <w:rPr>
                <w:rFonts w:hint="eastAsia" w:ascii="宋体" w:hAnsi="宋体" w:cs="宋体"/>
                <w:b/>
                <w:color w:val="000000" w:themeColor="text1"/>
                <w:szCs w:val="21"/>
              </w:rPr>
              <w:t>评审因素</w:t>
            </w:r>
          </w:p>
        </w:tc>
        <w:tc>
          <w:tcPr>
            <w:tcW w:w="5747" w:type="dxa"/>
            <w:vAlign w:val="center"/>
          </w:tcPr>
          <w:p>
            <w:pPr>
              <w:jc w:val="center"/>
              <w:rPr>
                <w:rFonts w:ascii="宋体" w:cs="宋体"/>
                <w:b/>
                <w:color w:val="000000" w:themeColor="text1"/>
                <w:szCs w:val="21"/>
              </w:rPr>
            </w:pPr>
            <w:r>
              <w:rPr>
                <w:rFonts w:hint="eastAsia" w:ascii="宋体" w:hAnsi="宋体" w:cs="宋体"/>
                <w:b/>
                <w:color w:val="000000" w:themeColor="text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restart"/>
            <w:vAlign w:val="center"/>
          </w:tcPr>
          <w:p>
            <w:pPr>
              <w:jc w:val="center"/>
              <w:rPr>
                <w:rFonts w:ascii="宋体" w:hAnsi="宋体" w:cs="宋体"/>
                <w:color w:val="000000" w:themeColor="text1"/>
                <w:szCs w:val="21"/>
              </w:rPr>
            </w:pPr>
            <w:r>
              <w:rPr>
                <w:rFonts w:ascii="宋体" w:hAnsi="宋体" w:cs="宋体"/>
                <w:color w:val="000000" w:themeColor="text1"/>
                <w:szCs w:val="21"/>
              </w:rPr>
              <w:t>2.1.1</w:t>
            </w:r>
          </w:p>
        </w:tc>
        <w:tc>
          <w:tcPr>
            <w:tcW w:w="885" w:type="dxa"/>
            <w:vMerge w:val="restart"/>
            <w:vAlign w:val="center"/>
          </w:tcPr>
          <w:p>
            <w:pPr>
              <w:jc w:val="center"/>
              <w:rPr>
                <w:rFonts w:ascii="宋体" w:cs="宋体"/>
                <w:color w:val="000000" w:themeColor="text1"/>
                <w:szCs w:val="21"/>
              </w:rPr>
            </w:pPr>
            <w:r>
              <w:rPr>
                <w:rFonts w:hint="eastAsia" w:ascii="宋体" w:hAnsi="宋体" w:cs="宋体"/>
                <w:color w:val="000000" w:themeColor="text1"/>
                <w:szCs w:val="21"/>
              </w:rPr>
              <w:t>形式</w:t>
            </w:r>
          </w:p>
          <w:p>
            <w:pPr>
              <w:jc w:val="center"/>
              <w:rPr>
                <w:rFonts w:ascii="宋体" w:cs="宋体"/>
                <w:color w:val="000000" w:themeColor="text1"/>
                <w:szCs w:val="21"/>
              </w:rPr>
            </w:pPr>
            <w:r>
              <w:rPr>
                <w:rFonts w:hint="eastAsia" w:ascii="宋体" w:hAnsi="宋体" w:cs="宋体"/>
                <w:color w:val="000000" w:themeColor="text1"/>
                <w:szCs w:val="21"/>
              </w:rPr>
              <w:t>评审</w:t>
            </w:r>
          </w:p>
          <w:p>
            <w:pPr>
              <w:jc w:val="center"/>
              <w:rPr>
                <w:rFonts w:ascii="宋体" w:cs="宋体"/>
                <w:color w:val="000000" w:themeColor="text1"/>
                <w:szCs w:val="21"/>
              </w:rPr>
            </w:pPr>
            <w:r>
              <w:rPr>
                <w:rFonts w:hint="eastAsia" w:ascii="宋体" w:hAnsi="宋体" w:cs="宋体"/>
                <w:color w:val="000000" w:themeColor="text1"/>
                <w:szCs w:val="21"/>
              </w:rPr>
              <w:t>标准</w:t>
            </w: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投标人名称</w:t>
            </w:r>
          </w:p>
        </w:tc>
        <w:tc>
          <w:tcPr>
            <w:tcW w:w="5747" w:type="dxa"/>
            <w:vAlign w:val="center"/>
          </w:tcPr>
          <w:p>
            <w:pPr>
              <w:jc w:val="center"/>
              <w:rPr>
                <w:rFonts w:ascii="宋体" w:cs="宋体"/>
                <w:color w:val="000000" w:themeColor="text1"/>
                <w:szCs w:val="21"/>
              </w:rPr>
            </w:pPr>
            <w:r>
              <w:rPr>
                <w:rFonts w:hint="eastAsia" w:ascii="宋体" w:hAnsi="宋体" w:cs="宋体"/>
                <w:color w:val="000000" w:themeColor="text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投标文件签字盖章</w:t>
            </w:r>
          </w:p>
        </w:tc>
        <w:tc>
          <w:tcPr>
            <w:tcW w:w="5747" w:type="dxa"/>
            <w:vAlign w:val="center"/>
          </w:tcPr>
          <w:p>
            <w:pPr>
              <w:ind w:firstLine="210" w:firstLineChars="100"/>
              <w:rPr>
                <w:rFonts w:ascii="宋体" w:cs="宋体"/>
                <w:color w:val="000000" w:themeColor="text1"/>
                <w:szCs w:val="21"/>
              </w:rPr>
            </w:pPr>
            <w:r>
              <w:rPr>
                <w:rFonts w:hint="eastAsia" w:ascii="宋体" w:hAnsi="宋体" w:cs="宋体"/>
                <w:color w:val="000000" w:themeColor="text1"/>
                <w:szCs w:val="21"/>
              </w:rPr>
              <w:t>符合第二章“投标人须知”前附表第</w:t>
            </w:r>
            <w:r>
              <w:rPr>
                <w:rFonts w:ascii="宋体" w:hAnsi="宋体" w:cs="宋体"/>
                <w:color w:val="000000" w:themeColor="text1"/>
                <w:szCs w:val="21"/>
              </w:rPr>
              <w:t>3.7.4</w:t>
            </w:r>
            <w:r>
              <w:rPr>
                <w:rFonts w:hint="eastAsia" w:ascii="宋体" w:hAnsi="宋体" w:cs="宋体"/>
                <w:color w:val="000000" w:themeColor="text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投标文件格式</w:t>
            </w:r>
          </w:p>
        </w:tc>
        <w:tc>
          <w:tcPr>
            <w:tcW w:w="5747" w:type="dxa"/>
            <w:vAlign w:val="center"/>
          </w:tcPr>
          <w:p>
            <w:pPr>
              <w:ind w:firstLine="210" w:firstLineChars="100"/>
              <w:rPr>
                <w:rFonts w:ascii="宋体" w:cs="宋体"/>
                <w:color w:val="000000" w:themeColor="text1"/>
                <w:szCs w:val="21"/>
              </w:rPr>
            </w:pPr>
            <w:r>
              <w:rPr>
                <w:rFonts w:hint="eastAsia" w:ascii="宋体" w:hAnsi="宋体" w:cs="宋体"/>
                <w:color w:val="000000" w:themeColor="text1"/>
                <w:szCs w:val="21"/>
              </w:rPr>
              <w:t>符合招标文件第六章“投标文件格式”要求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报价唯一</w:t>
            </w:r>
          </w:p>
        </w:tc>
        <w:tc>
          <w:tcPr>
            <w:tcW w:w="5747" w:type="dxa"/>
            <w:vAlign w:val="center"/>
          </w:tcPr>
          <w:p>
            <w:pPr>
              <w:ind w:firstLine="210" w:firstLineChars="100"/>
              <w:rPr>
                <w:rFonts w:ascii="宋体" w:cs="宋体"/>
                <w:color w:val="000000" w:themeColor="text1"/>
                <w:szCs w:val="21"/>
              </w:rPr>
            </w:pPr>
            <w:r>
              <w:rPr>
                <w:rFonts w:hint="eastAsia" w:ascii="宋体" w:hAnsi="宋体" w:cs="宋体"/>
                <w:color w:val="000000" w:themeColor="text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restart"/>
            <w:vAlign w:val="center"/>
          </w:tcPr>
          <w:p>
            <w:pPr>
              <w:jc w:val="center"/>
              <w:rPr>
                <w:rFonts w:ascii="宋体" w:hAnsi="宋体" w:cs="宋体"/>
                <w:color w:val="000000" w:themeColor="text1"/>
                <w:szCs w:val="21"/>
              </w:rPr>
            </w:pPr>
            <w:r>
              <w:rPr>
                <w:rFonts w:ascii="宋体" w:hAnsi="宋体" w:cs="宋体"/>
                <w:color w:val="000000" w:themeColor="text1"/>
                <w:szCs w:val="21"/>
              </w:rPr>
              <w:t>2.1.2</w:t>
            </w:r>
          </w:p>
        </w:tc>
        <w:tc>
          <w:tcPr>
            <w:tcW w:w="885" w:type="dxa"/>
            <w:vMerge w:val="restart"/>
            <w:vAlign w:val="center"/>
          </w:tcPr>
          <w:p>
            <w:pPr>
              <w:jc w:val="center"/>
              <w:rPr>
                <w:rFonts w:ascii="宋体" w:cs="宋体"/>
                <w:color w:val="000000" w:themeColor="text1"/>
                <w:szCs w:val="21"/>
              </w:rPr>
            </w:pPr>
            <w:r>
              <w:rPr>
                <w:rFonts w:hint="eastAsia" w:ascii="宋体" w:hAnsi="宋体" w:cs="宋体"/>
                <w:color w:val="000000" w:themeColor="text1"/>
                <w:szCs w:val="21"/>
              </w:rPr>
              <w:t>资格</w:t>
            </w:r>
          </w:p>
          <w:p>
            <w:pPr>
              <w:jc w:val="center"/>
              <w:rPr>
                <w:rFonts w:ascii="宋体" w:cs="宋体"/>
                <w:color w:val="000000" w:themeColor="text1"/>
                <w:szCs w:val="21"/>
              </w:rPr>
            </w:pPr>
            <w:r>
              <w:rPr>
                <w:rFonts w:hint="eastAsia" w:ascii="宋体" w:hAnsi="宋体" w:cs="宋体"/>
                <w:color w:val="000000" w:themeColor="text1"/>
                <w:szCs w:val="21"/>
              </w:rPr>
              <w:t>评审</w:t>
            </w:r>
          </w:p>
          <w:p>
            <w:pPr>
              <w:jc w:val="center"/>
              <w:rPr>
                <w:rFonts w:ascii="宋体" w:cs="宋体"/>
                <w:color w:val="000000" w:themeColor="text1"/>
                <w:szCs w:val="21"/>
              </w:rPr>
            </w:pPr>
            <w:r>
              <w:rPr>
                <w:rFonts w:hint="eastAsia" w:ascii="宋体" w:hAnsi="宋体" w:cs="宋体"/>
                <w:color w:val="000000" w:themeColor="text1"/>
                <w:szCs w:val="21"/>
              </w:rPr>
              <w:t>标准</w:t>
            </w:r>
          </w:p>
        </w:tc>
        <w:tc>
          <w:tcPr>
            <w:tcW w:w="1690" w:type="dxa"/>
            <w:vAlign w:val="center"/>
          </w:tcPr>
          <w:p>
            <w:pPr>
              <w:ind w:firstLine="210" w:firstLineChars="100"/>
              <w:rPr>
                <w:rFonts w:hint="eastAsia" w:ascii="宋体" w:hAnsi="宋体" w:cs="宋体"/>
                <w:color w:val="000000" w:themeColor="text1"/>
                <w:szCs w:val="21"/>
              </w:rPr>
            </w:pPr>
            <w:r>
              <w:rPr>
                <w:rFonts w:hint="eastAsia" w:ascii="宋体" w:hAnsi="宋体" w:cs="宋体"/>
                <w:color w:val="000000" w:themeColor="text1"/>
                <w:szCs w:val="21"/>
              </w:rPr>
              <w:t>资格条件</w:t>
            </w:r>
          </w:p>
        </w:tc>
        <w:tc>
          <w:tcPr>
            <w:tcW w:w="5747" w:type="dxa"/>
            <w:vAlign w:val="center"/>
          </w:tcPr>
          <w:p>
            <w:pPr>
              <w:ind w:firstLine="210" w:firstLineChars="100"/>
              <w:rPr>
                <w:rFonts w:hint="eastAsia" w:ascii="宋体" w:hAnsi="宋体" w:cs="宋体"/>
                <w:color w:val="000000" w:themeColor="text1"/>
                <w:szCs w:val="21"/>
              </w:rPr>
            </w:pPr>
            <w:r>
              <w:rPr>
                <w:rFonts w:hint="eastAsia" w:ascii="宋体" w:hAnsi="宋体" w:cs="宋体"/>
                <w:color w:val="000000" w:themeColor="text1"/>
                <w:szCs w:val="21"/>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pStyle w:val="15"/>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财务要求</w:t>
            </w:r>
          </w:p>
        </w:tc>
        <w:tc>
          <w:tcPr>
            <w:tcW w:w="5747" w:type="dxa"/>
            <w:vAlign w:val="center"/>
          </w:tcPr>
          <w:p>
            <w:pPr>
              <w:ind w:firstLine="210" w:firstLineChars="1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pStyle w:val="15"/>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纳税</w:t>
            </w:r>
          </w:p>
        </w:tc>
        <w:tc>
          <w:tcPr>
            <w:tcW w:w="5747" w:type="dxa"/>
            <w:vAlign w:val="center"/>
          </w:tcPr>
          <w:p>
            <w:pPr>
              <w:ind w:firstLine="210" w:firstLineChars="1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pStyle w:val="15"/>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项目负责人</w:t>
            </w:r>
          </w:p>
        </w:tc>
        <w:tc>
          <w:tcPr>
            <w:tcW w:w="5747" w:type="dxa"/>
            <w:vAlign w:val="center"/>
          </w:tcPr>
          <w:p>
            <w:pPr>
              <w:ind w:firstLine="210" w:firstLineChars="1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pStyle w:val="15"/>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社保</w:t>
            </w:r>
          </w:p>
        </w:tc>
        <w:tc>
          <w:tcPr>
            <w:tcW w:w="5747" w:type="dxa"/>
            <w:vAlign w:val="center"/>
          </w:tcPr>
          <w:p>
            <w:pPr>
              <w:ind w:firstLine="210" w:firstLineChars="1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9" w:hRule="atLeas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pStyle w:val="15"/>
              <w:jc w:val="center"/>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信誉</w:t>
            </w:r>
          </w:p>
        </w:tc>
        <w:tc>
          <w:tcPr>
            <w:tcW w:w="5747" w:type="dxa"/>
            <w:vAlign w:val="center"/>
          </w:tcPr>
          <w:p>
            <w:pPr>
              <w:ind w:firstLine="210" w:firstLineChars="1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符合第二章“投标人须知”前附表第1.4.1项规定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6" w:hRule="atLeas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7437" w:type="dxa"/>
            <w:gridSpan w:val="2"/>
            <w:vAlign w:val="center"/>
          </w:tcPr>
          <w:p>
            <w:pPr>
              <w:ind w:firstLine="105" w:firstLineChars="50"/>
              <w:rPr>
                <w:rFonts w:ascii="宋体" w:hAnsi="宋体" w:cs="宋体"/>
                <w:b/>
                <w:color w:val="000000" w:themeColor="text1"/>
                <w:szCs w:val="21"/>
              </w:rPr>
            </w:pPr>
            <w:r>
              <w:rPr>
                <w:rFonts w:hint="eastAsia" w:ascii="宋体" w:hAnsi="宋体" w:cs="宋体"/>
                <w:b/>
                <w:color w:val="000000" w:themeColor="text1"/>
                <w:szCs w:val="21"/>
              </w:rPr>
              <w:t>注：1、已办理三证合一的企业，仅需要提供有效的企业营业执照副本。</w:t>
            </w:r>
          </w:p>
          <w:p>
            <w:pPr>
              <w:pStyle w:val="2"/>
            </w:pPr>
            <w:r>
              <w:rPr>
                <w:rFonts w:hint="eastAsia" w:ascii="宋体" w:hAnsi="宋体" w:cs="宋体"/>
                <w:color w:val="000000" w:themeColor="text1"/>
                <w:sz w:val="21"/>
                <w:szCs w:val="21"/>
              </w:rPr>
              <w:t xml:space="preserve">     2、开标当天需按要求提供原件，由业主评委审查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restart"/>
            <w:vAlign w:val="center"/>
          </w:tcPr>
          <w:p>
            <w:pPr>
              <w:jc w:val="center"/>
              <w:rPr>
                <w:rFonts w:ascii="宋体" w:hAnsi="宋体" w:cs="宋体"/>
                <w:color w:val="000000" w:themeColor="text1"/>
                <w:szCs w:val="21"/>
              </w:rPr>
            </w:pPr>
            <w:r>
              <w:rPr>
                <w:rFonts w:ascii="宋体" w:hAnsi="宋体" w:cs="宋体"/>
                <w:color w:val="000000" w:themeColor="text1"/>
                <w:szCs w:val="21"/>
              </w:rPr>
              <w:t>2.1.3</w:t>
            </w:r>
          </w:p>
        </w:tc>
        <w:tc>
          <w:tcPr>
            <w:tcW w:w="885" w:type="dxa"/>
            <w:vMerge w:val="restart"/>
            <w:vAlign w:val="center"/>
          </w:tcPr>
          <w:p>
            <w:pPr>
              <w:jc w:val="center"/>
              <w:rPr>
                <w:rFonts w:ascii="宋体" w:cs="宋体"/>
                <w:color w:val="000000" w:themeColor="text1"/>
                <w:szCs w:val="21"/>
              </w:rPr>
            </w:pPr>
            <w:r>
              <w:rPr>
                <w:rFonts w:hint="eastAsia" w:ascii="宋体" w:hAnsi="宋体" w:cs="宋体"/>
                <w:color w:val="000000" w:themeColor="text1"/>
                <w:szCs w:val="21"/>
              </w:rPr>
              <w:t>响应性评审标准</w:t>
            </w: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投标报价</w:t>
            </w:r>
          </w:p>
        </w:tc>
        <w:tc>
          <w:tcPr>
            <w:tcW w:w="5747" w:type="dxa"/>
            <w:vAlign w:val="center"/>
          </w:tcPr>
          <w:p>
            <w:pPr>
              <w:ind w:firstLine="210" w:firstLineChars="100"/>
              <w:rPr>
                <w:rFonts w:ascii="宋体" w:cs="宋体"/>
                <w:color w:val="000000" w:themeColor="text1"/>
                <w:szCs w:val="21"/>
              </w:rPr>
            </w:pPr>
            <w:r>
              <w:rPr>
                <w:rFonts w:hint="eastAsia" w:ascii="宋体" w:hAnsi="宋体" w:cs="宋体"/>
                <w:color w:val="000000" w:themeColor="text1"/>
                <w:szCs w:val="21"/>
              </w:rPr>
              <w:t>投标报价不得超过招标控制价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供货期要求</w:t>
            </w:r>
          </w:p>
        </w:tc>
        <w:tc>
          <w:tcPr>
            <w:tcW w:w="5747" w:type="dxa"/>
            <w:vAlign w:val="center"/>
          </w:tcPr>
          <w:p>
            <w:pPr>
              <w:ind w:firstLine="210" w:firstLineChars="100"/>
              <w:rPr>
                <w:rFonts w:ascii="宋体" w:cs="宋体"/>
                <w:color w:val="000000" w:themeColor="text1"/>
                <w:szCs w:val="21"/>
              </w:rPr>
            </w:pPr>
            <w:r>
              <w:rPr>
                <w:rFonts w:hint="eastAsia" w:ascii="宋体" w:hAnsi="宋体" w:cs="宋体"/>
                <w:bCs/>
                <w:color w:val="000000" w:themeColor="text1"/>
                <w:szCs w:val="21"/>
              </w:rPr>
              <w:t>符合第二章“投标人须知”前附表第</w:t>
            </w:r>
            <w:r>
              <w:rPr>
                <w:rFonts w:ascii="宋体" w:hAnsi="宋体" w:cs="宋体"/>
                <w:bCs/>
                <w:color w:val="000000" w:themeColor="text1"/>
                <w:szCs w:val="21"/>
              </w:rPr>
              <w:t>1.3.2</w:t>
            </w:r>
            <w:r>
              <w:rPr>
                <w:rFonts w:hint="eastAsia" w:ascii="宋体" w:hAnsi="宋体" w:cs="宋体"/>
                <w:bCs/>
                <w:color w:val="000000" w:themeColor="text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产品质保期</w:t>
            </w:r>
          </w:p>
        </w:tc>
        <w:tc>
          <w:tcPr>
            <w:tcW w:w="5747" w:type="dxa"/>
            <w:vAlign w:val="center"/>
          </w:tcPr>
          <w:p>
            <w:pPr>
              <w:ind w:firstLine="210" w:firstLineChars="100"/>
              <w:rPr>
                <w:rFonts w:ascii="宋体" w:cs="宋体"/>
                <w:bCs/>
                <w:color w:val="000000" w:themeColor="text1"/>
                <w:szCs w:val="21"/>
              </w:rPr>
            </w:pPr>
            <w:r>
              <w:rPr>
                <w:rFonts w:hint="eastAsia" w:ascii="宋体" w:hAnsi="宋体" w:cs="宋体"/>
                <w:bCs/>
                <w:color w:val="000000" w:themeColor="text1"/>
                <w:szCs w:val="21"/>
              </w:rPr>
              <w:t>符合第二章“投标人须知”前附表第</w:t>
            </w:r>
            <w:r>
              <w:rPr>
                <w:rFonts w:ascii="宋体" w:hAnsi="宋体" w:cs="宋体"/>
                <w:bCs/>
                <w:color w:val="000000" w:themeColor="text1"/>
                <w:szCs w:val="21"/>
              </w:rPr>
              <w:t>10.3</w:t>
            </w:r>
            <w:r>
              <w:rPr>
                <w:rFonts w:hint="eastAsia" w:ascii="宋体" w:hAnsi="宋体" w:cs="宋体"/>
                <w:bCs/>
                <w:color w:val="000000" w:themeColor="text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质量要求</w:t>
            </w:r>
          </w:p>
        </w:tc>
        <w:tc>
          <w:tcPr>
            <w:tcW w:w="5747" w:type="dxa"/>
            <w:vAlign w:val="center"/>
          </w:tcPr>
          <w:p>
            <w:pPr>
              <w:ind w:firstLine="210" w:firstLineChars="100"/>
              <w:rPr>
                <w:rFonts w:ascii="宋体" w:cs="宋体"/>
                <w:color w:val="000000" w:themeColor="text1"/>
                <w:szCs w:val="21"/>
              </w:rPr>
            </w:pPr>
            <w:r>
              <w:rPr>
                <w:rFonts w:hint="eastAsia" w:ascii="宋体" w:hAnsi="宋体" w:cs="宋体"/>
                <w:bCs/>
                <w:color w:val="000000" w:themeColor="text1"/>
                <w:szCs w:val="21"/>
              </w:rPr>
              <w:t>符合第二章“投标人须知”前附表第</w:t>
            </w:r>
            <w:r>
              <w:rPr>
                <w:rFonts w:ascii="宋体" w:hAnsi="宋体" w:cs="宋体"/>
                <w:bCs/>
                <w:color w:val="000000" w:themeColor="text1"/>
                <w:szCs w:val="21"/>
              </w:rPr>
              <w:t>1.3.3</w:t>
            </w:r>
            <w:r>
              <w:rPr>
                <w:rFonts w:hint="eastAsia" w:ascii="宋体" w:hAnsi="宋体" w:cs="宋体"/>
                <w:bCs/>
                <w:color w:val="000000" w:themeColor="text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投标有效期</w:t>
            </w:r>
          </w:p>
        </w:tc>
        <w:tc>
          <w:tcPr>
            <w:tcW w:w="5747" w:type="dxa"/>
            <w:vAlign w:val="center"/>
          </w:tcPr>
          <w:p>
            <w:pPr>
              <w:ind w:firstLine="210" w:firstLineChars="100"/>
              <w:rPr>
                <w:rFonts w:ascii="宋体" w:cs="宋体"/>
                <w:color w:val="000000" w:themeColor="text1"/>
                <w:szCs w:val="21"/>
              </w:rPr>
            </w:pPr>
            <w:r>
              <w:rPr>
                <w:rFonts w:hint="eastAsia" w:ascii="宋体" w:hAnsi="宋体" w:cs="宋体"/>
                <w:bCs/>
                <w:color w:val="000000" w:themeColor="text1"/>
                <w:szCs w:val="21"/>
              </w:rPr>
              <w:t>符合第二章“投标人须知”前附表第</w:t>
            </w:r>
            <w:r>
              <w:rPr>
                <w:rFonts w:ascii="宋体" w:hAnsi="宋体" w:cs="宋体"/>
                <w:bCs/>
                <w:color w:val="000000" w:themeColor="text1"/>
                <w:szCs w:val="21"/>
              </w:rPr>
              <w:t>3.4.1</w:t>
            </w:r>
            <w:r>
              <w:rPr>
                <w:rFonts w:hint="eastAsia" w:ascii="宋体" w:hAnsi="宋体" w:cs="宋体"/>
                <w:bCs/>
                <w:color w:val="000000" w:themeColor="text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exact"/>
          <w:tblHeader/>
          <w:jc w:val="center"/>
        </w:trPr>
        <w:tc>
          <w:tcPr>
            <w:tcW w:w="893" w:type="dxa"/>
            <w:vMerge w:val="continue"/>
            <w:vAlign w:val="center"/>
          </w:tcPr>
          <w:p>
            <w:pPr>
              <w:widowControl/>
              <w:jc w:val="center"/>
              <w:rPr>
                <w:rFonts w:ascii="宋体" w:cs="宋体"/>
                <w:color w:val="000000" w:themeColor="text1"/>
                <w:szCs w:val="21"/>
              </w:rPr>
            </w:pPr>
          </w:p>
        </w:tc>
        <w:tc>
          <w:tcPr>
            <w:tcW w:w="885" w:type="dxa"/>
            <w:vMerge w:val="continue"/>
            <w:vAlign w:val="center"/>
          </w:tcPr>
          <w:p>
            <w:pPr>
              <w:widowControl/>
              <w:jc w:val="center"/>
              <w:rPr>
                <w:rFonts w:ascii="宋体" w:cs="宋体"/>
                <w:color w:val="000000" w:themeColor="text1"/>
                <w:szCs w:val="21"/>
              </w:rPr>
            </w:pPr>
          </w:p>
        </w:tc>
        <w:tc>
          <w:tcPr>
            <w:tcW w:w="1690" w:type="dxa"/>
            <w:vAlign w:val="center"/>
          </w:tcPr>
          <w:p>
            <w:pPr>
              <w:jc w:val="center"/>
              <w:rPr>
                <w:rFonts w:ascii="宋体" w:cs="宋体"/>
                <w:color w:val="000000" w:themeColor="text1"/>
                <w:szCs w:val="21"/>
              </w:rPr>
            </w:pPr>
            <w:r>
              <w:rPr>
                <w:rFonts w:hint="eastAsia" w:ascii="宋体" w:hAnsi="宋体" w:cs="宋体"/>
                <w:color w:val="000000" w:themeColor="text1"/>
                <w:szCs w:val="21"/>
              </w:rPr>
              <w:t>投标保证金</w:t>
            </w:r>
          </w:p>
        </w:tc>
        <w:tc>
          <w:tcPr>
            <w:tcW w:w="5747" w:type="dxa"/>
            <w:vAlign w:val="center"/>
          </w:tcPr>
          <w:p>
            <w:pPr>
              <w:ind w:firstLine="210" w:firstLineChars="100"/>
              <w:rPr>
                <w:rFonts w:ascii="宋体" w:cs="宋体"/>
                <w:color w:val="000000" w:themeColor="text1"/>
                <w:szCs w:val="21"/>
              </w:rPr>
            </w:pPr>
            <w:r>
              <w:rPr>
                <w:rFonts w:hint="eastAsia" w:ascii="宋体" w:hAnsi="宋体" w:cs="宋体"/>
                <w:color w:val="000000" w:themeColor="text1"/>
                <w:szCs w:val="21"/>
              </w:rPr>
              <w:t>符合第二章“投标人须知”前附表第</w:t>
            </w:r>
            <w:r>
              <w:rPr>
                <w:rFonts w:ascii="宋体" w:hAnsi="宋体" w:cs="宋体"/>
                <w:color w:val="000000" w:themeColor="text1"/>
                <w:szCs w:val="21"/>
              </w:rPr>
              <w:t>3.5.1</w:t>
            </w:r>
            <w:r>
              <w:rPr>
                <w:rFonts w:hint="eastAsia" w:ascii="宋体" w:hAnsi="宋体" w:cs="宋体"/>
                <w:color w:val="000000" w:themeColor="text1"/>
                <w:szCs w:val="21"/>
              </w:rPr>
              <w:t>项规定</w:t>
            </w:r>
          </w:p>
        </w:tc>
      </w:tr>
    </w:tbl>
    <w:p>
      <w:pPr>
        <w:rPr>
          <w:rFonts w:hint="eastAsia" w:ascii="宋体" w:eastAsia="宋体" w:cs="宋体"/>
          <w:b/>
          <w:color w:val="000000" w:themeColor="text1"/>
          <w:sz w:val="24"/>
          <w:lang w:val="en-US" w:eastAsia="zh-CN"/>
        </w:rPr>
      </w:pPr>
      <w:r>
        <w:rPr>
          <w:rFonts w:hint="eastAsia" w:ascii="宋体" w:cs="宋体"/>
          <w:b/>
          <w:color w:val="000000" w:themeColor="text1"/>
          <w:sz w:val="24"/>
          <w:lang w:val="en-US" w:eastAsia="zh-CN"/>
        </w:rPr>
        <w:t xml:space="preserve"> </w:t>
      </w:r>
    </w:p>
    <w:tbl>
      <w:tblPr>
        <w:tblStyle w:val="14"/>
        <w:tblW w:w="8845" w:type="dxa"/>
        <w:tblInd w:w="250" w:type="dxa"/>
        <w:tblLayout w:type="fixed"/>
        <w:tblCellMar>
          <w:top w:w="0" w:type="dxa"/>
          <w:left w:w="108" w:type="dxa"/>
          <w:bottom w:w="0" w:type="dxa"/>
          <w:right w:w="108" w:type="dxa"/>
        </w:tblCellMar>
      </w:tblPr>
      <w:tblGrid>
        <w:gridCol w:w="790"/>
        <w:gridCol w:w="1470"/>
        <w:gridCol w:w="1020"/>
        <w:gridCol w:w="5565"/>
      </w:tblGrid>
      <w:tr>
        <w:tblPrEx>
          <w:tblLayout w:type="fixed"/>
          <w:tblCellMar>
            <w:top w:w="0" w:type="dxa"/>
            <w:left w:w="108" w:type="dxa"/>
            <w:bottom w:w="0" w:type="dxa"/>
            <w:right w:w="108" w:type="dxa"/>
          </w:tblCellMar>
        </w:tblPrEx>
        <w:trPr>
          <w:trHeight w:val="455" w:hRule="atLeast"/>
        </w:trPr>
        <w:tc>
          <w:tcPr>
            <w:tcW w:w="884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
                <w:color w:val="000000" w:themeColor="text1"/>
                <w:szCs w:val="21"/>
              </w:rPr>
              <w:t>2.2详细评审</w:t>
            </w:r>
          </w:p>
        </w:tc>
      </w:tr>
      <w:tr>
        <w:tblPrEx>
          <w:tblLayout w:type="fixed"/>
          <w:tblCellMar>
            <w:top w:w="0" w:type="dxa"/>
            <w:left w:w="108" w:type="dxa"/>
            <w:bottom w:w="0" w:type="dxa"/>
            <w:right w:w="108" w:type="dxa"/>
          </w:tblCellMar>
        </w:tblPrEx>
        <w:trPr>
          <w:trHeight w:val="480" w:hRule="atLeast"/>
        </w:trPr>
        <w:tc>
          <w:tcPr>
            <w:tcW w:w="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1470"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评分项目</w:t>
            </w:r>
          </w:p>
        </w:tc>
        <w:tc>
          <w:tcPr>
            <w:tcW w:w="1020"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满分值</w:t>
            </w:r>
          </w:p>
        </w:tc>
        <w:tc>
          <w:tcPr>
            <w:tcW w:w="5565" w:type="dxa"/>
            <w:tcBorders>
              <w:top w:val="single" w:color="auto" w:sz="4" w:space="0"/>
              <w:left w:val="nil"/>
              <w:bottom w:val="single" w:color="auto" w:sz="4" w:space="0"/>
              <w:right w:val="single" w:color="auto" w:sz="4" w:space="0"/>
            </w:tcBorders>
            <w:vAlign w:val="center"/>
          </w:tcPr>
          <w:p>
            <w:pPr>
              <w:jc w:val="center"/>
              <w:rPr>
                <w:rFonts w:ascii="宋体" w:hAnsi="宋体" w:cs="宋体"/>
                <w:b/>
                <w:color w:val="000000" w:themeColor="text1"/>
                <w:szCs w:val="21"/>
              </w:rPr>
            </w:pPr>
            <w:r>
              <w:rPr>
                <w:rFonts w:hint="eastAsia" w:ascii="宋体" w:hAnsi="宋体" w:cs="宋体"/>
                <w:b/>
                <w:color w:val="000000" w:themeColor="text1"/>
                <w:szCs w:val="21"/>
              </w:rPr>
              <w:t>评分内容及标准</w:t>
            </w:r>
          </w:p>
        </w:tc>
      </w:tr>
      <w:tr>
        <w:tblPrEx>
          <w:tblLayout w:type="fixed"/>
          <w:tblCellMar>
            <w:top w:w="0" w:type="dxa"/>
            <w:left w:w="108" w:type="dxa"/>
            <w:bottom w:w="0" w:type="dxa"/>
            <w:right w:w="108" w:type="dxa"/>
          </w:tblCellMar>
        </w:tblPrEx>
        <w:trPr>
          <w:trHeight w:val="1125" w:hRule="atLeast"/>
        </w:trPr>
        <w:tc>
          <w:tcPr>
            <w:tcW w:w="790" w:type="dxa"/>
            <w:tcBorders>
              <w:top w:val="nil"/>
              <w:left w:val="single" w:color="auto" w:sz="4" w:space="0"/>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1</w:t>
            </w:r>
          </w:p>
        </w:tc>
        <w:tc>
          <w:tcPr>
            <w:tcW w:w="147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价格分</w:t>
            </w:r>
          </w:p>
          <w:p>
            <w:pPr>
              <w:jc w:val="center"/>
              <w:rPr>
                <w:rFonts w:ascii="宋体" w:hAnsi="宋体" w:cs="宋体"/>
                <w:bCs/>
                <w:color w:val="000000" w:themeColor="text1"/>
                <w:szCs w:val="21"/>
              </w:rPr>
            </w:pPr>
            <w:r>
              <w:rPr>
                <w:rFonts w:hint="eastAsia" w:ascii="宋体" w:hAnsi="宋体" w:cs="宋体"/>
                <w:bCs/>
                <w:color w:val="000000" w:themeColor="text1"/>
                <w:szCs w:val="21"/>
              </w:rPr>
              <w:t>（30分）</w:t>
            </w: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30分</w:t>
            </w:r>
          </w:p>
        </w:tc>
        <w:tc>
          <w:tcPr>
            <w:tcW w:w="5565" w:type="dxa"/>
            <w:tcBorders>
              <w:top w:val="nil"/>
              <w:left w:val="nil"/>
              <w:bottom w:val="single" w:color="auto" w:sz="4" w:space="0"/>
              <w:right w:val="single" w:color="auto" w:sz="4" w:space="0"/>
            </w:tcBorders>
          </w:tcPr>
          <w:p>
            <w:pPr>
              <w:rPr>
                <w:rFonts w:ascii="宋体" w:hAnsi="宋体" w:cs="宋体"/>
                <w:color w:val="000000" w:themeColor="text1"/>
                <w:szCs w:val="21"/>
              </w:rPr>
            </w:pPr>
            <w:r>
              <w:rPr>
                <w:rFonts w:hint="eastAsia" w:ascii="宋体" w:hAnsi="宋体" w:cs="宋体"/>
                <w:color w:val="000000" w:themeColor="text1"/>
                <w:szCs w:val="21"/>
              </w:rPr>
              <w:t>本项采用低价优先法计算，即满足招标文件要求且投标价格最低的投标报价为评标基准价，其价格分为满分。其他投标人的价格分统一按照下列公式计算：</w:t>
            </w:r>
          </w:p>
          <w:p>
            <w:pPr>
              <w:rPr>
                <w:rFonts w:ascii="宋体" w:hAnsi="宋体" w:cs="宋体"/>
                <w:color w:val="000000" w:themeColor="text1"/>
                <w:szCs w:val="21"/>
              </w:rPr>
            </w:pPr>
            <w:r>
              <w:rPr>
                <w:rFonts w:hint="eastAsia" w:ascii="宋体" w:hAnsi="宋体" w:cs="宋体"/>
                <w:color w:val="000000" w:themeColor="text1"/>
                <w:szCs w:val="21"/>
              </w:rPr>
              <w:t>投标报价得分=(评标基准价／投标报价)×30</w:t>
            </w:r>
          </w:p>
          <w:p>
            <w:pPr>
              <w:rPr>
                <w:rFonts w:ascii="宋体" w:hAnsi="宋体" w:cs="宋体"/>
                <w:bCs/>
                <w:color w:val="000000" w:themeColor="text1"/>
                <w:szCs w:val="21"/>
              </w:rPr>
            </w:pPr>
            <w:r>
              <w:rPr>
                <w:rFonts w:hint="eastAsia" w:ascii="宋体" w:hAnsi="宋体" w:cs="宋体"/>
                <w:color w:val="000000" w:themeColor="text1"/>
                <w:szCs w:val="21"/>
              </w:rPr>
              <w:t>（</w:t>
            </w:r>
            <w:r>
              <w:rPr>
                <w:rFonts w:hint="eastAsia" w:ascii="宋体" w:hAnsi="宋体" w:cs="宋体"/>
                <w:b/>
                <w:bCs/>
                <w:color w:val="000000" w:themeColor="text1"/>
                <w:szCs w:val="21"/>
              </w:rPr>
              <w:t>备注</w:t>
            </w:r>
            <w:r>
              <w:rPr>
                <w:rFonts w:hint="eastAsia" w:ascii="宋体" w:hAnsi="宋体" w:cs="宋体"/>
                <w:color w:val="000000" w:themeColor="text1"/>
                <w:szCs w:val="21"/>
              </w:rPr>
              <w:t>：得分按四舍五入法取小数点后两位；投标人投标报价高于招标控制价的为废标；依据相关办法，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themeColor="text1"/>
                <w:kern w:val="1"/>
                <w:szCs w:val="21"/>
              </w:rPr>
              <w:t>。</w:t>
            </w:r>
          </w:p>
        </w:tc>
      </w:tr>
      <w:tr>
        <w:tblPrEx>
          <w:tblLayout w:type="fixed"/>
          <w:tblCellMar>
            <w:top w:w="0" w:type="dxa"/>
            <w:left w:w="108" w:type="dxa"/>
            <w:bottom w:w="0" w:type="dxa"/>
            <w:right w:w="108" w:type="dxa"/>
          </w:tblCellMar>
        </w:tblPrEx>
        <w:trPr>
          <w:trHeight w:val="487" w:hRule="atLeast"/>
        </w:trPr>
        <w:tc>
          <w:tcPr>
            <w:tcW w:w="790" w:type="dxa"/>
            <w:vMerge w:val="restart"/>
            <w:tcBorders>
              <w:top w:val="nil"/>
              <w:left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2</w:t>
            </w:r>
          </w:p>
        </w:tc>
        <w:tc>
          <w:tcPr>
            <w:tcW w:w="1470" w:type="dxa"/>
            <w:vMerge w:val="restart"/>
            <w:tcBorders>
              <w:top w:val="nil"/>
              <w:left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综合实力 (40分)</w:t>
            </w: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3分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投标人具备有效的ISO9001：2015质量管理体系认证证书、ISO14001：2015环境管理体系认证证书、OHSAS18001：2007职业健康安全管理体系认证证书,本项满分3分，缺项不得分。（认证范围包括：衡器、仪器仪表、计算机信息系统集成和服务）（提供原件备查，无原件不记分）</w:t>
            </w:r>
          </w:p>
        </w:tc>
      </w:tr>
      <w:tr>
        <w:tblPrEx>
          <w:tblLayout w:type="fixed"/>
          <w:tblCellMar>
            <w:top w:w="0" w:type="dxa"/>
            <w:left w:w="108" w:type="dxa"/>
            <w:bottom w:w="0" w:type="dxa"/>
            <w:right w:w="108" w:type="dxa"/>
          </w:tblCellMar>
        </w:tblPrEx>
        <w:trPr>
          <w:trHeight w:val="416" w:hRule="atLeast"/>
        </w:trPr>
        <w:tc>
          <w:tcPr>
            <w:tcW w:w="79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5分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投标人提供如下证书或荣誉：</w:t>
            </w:r>
          </w:p>
          <w:p>
            <w:pPr>
              <w:rPr>
                <w:rFonts w:ascii="宋体" w:hAnsi="宋体" w:cs="宋体"/>
                <w:bCs/>
                <w:color w:val="000000" w:themeColor="text1"/>
                <w:szCs w:val="21"/>
              </w:rPr>
            </w:pPr>
            <w:r>
              <w:rPr>
                <w:rFonts w:hint="eastAsia" w:ascii="宋体" w:hAnsi="宋体" w:cs="宋体"/>
                <w:bCs/>
                <w:color w:val="000000" w:themeColor="text1"/>
                <w:szCs w:val="21"/>
              </w:rPr>
              <w:t>1、获得高新技术企业证书，得1分；</w:t>
            </w:r>
          </w:p>
          <w:p>
            <w:pPr>
              <w:rPr>
                <w:rFonts w:ascii="宋体" w:hAnsi="宋体" w:cs="宋体"/>
                <w:bCs/>
                <w:color w:val="000000" w:themeColor="text1"/>
                <w:szCs w:val="21"/>
              </w:rPr>
            </w:pPr>
            <w:r>
              <w:rPr>
                <w:rFonts w:hint="eastAsia" w:ascii="宋体" w:hAnsi="宋体" w:cs="宋体"/>
                <w:bCs/>
                <w:color w:val="000000" w:themeColor="text1"/>
                <w:szCs w:val="21"/>
              </w:rPr>
              <w:t>2、获得市级及以上工程技术研究中心，得1分；</w:t>
            </w:r>
          </w:p>
          <w:p>
            <w:pPr>
              <w:spacing w:line="440" w:lineRule="exact"/>
              <w:rPr>
                <w:rFonts w:ascii="宋体" w:hAnsi="宋体" w:cs="宋体"/>
                <w:color w:val="000000" w:themeColor="text1"/>
                <w:kern w:val="0"/>
                <w:szCs w:val="21"/>
              </w:rPr>
            </w:pPr>
            <w:r>
              <w:rPr>
                <w:rFonts w:hint="eastAsia" w:ascii="宋体" w:hAnsi="宋体" w:cs="宋体"/>
                <w:color w:val="000000" w:themeColor="text1"/>
                <w:kern w:val="0"/>
                <w:szCs w:val="21"/>
              </w:rPr>
              <w:t>3、投标人获得国家工程建设重点推广应用产品证书提供相关证明原件得1分，不提供不得分。</w:t>
            </w:r>
          </w:p>
          <w:p>
            <w:pPr>
              <w:spacing w:line="440" w:lineRule="exact"/>
              <w:rPr>
                <w:rFonts w:ascii="宋体" w:hAnsi="宋体" w:cs="宋体"/>
                <w:color w:val="000000" w:themeColor="text1"/>
                <w:kern w:val="0"/>
                <w:szCs w:val="21"/>
              </w:rPr>
            </w:pPr>
            <w:r>
              <w:rPr>
                <w:rFonts w:hint="eastAsia" w:ascii="宋体" w:hAnsi="宋体" w:cs="宋体"/>
                <w:color w:val="000000" w:themeColor="text1"/>
                <w:kern w:val="0"/>
                <w:szCs w:val="21"/>
              </w:rPr>
              <w:t>4、投标人获得节能绿色环保推广产品证书提供相关证明原件得1分，不提供不得分。</w:t>
            </w:r>
          </w:p>
          <w:p>
            <w:pPr>
              <w:spacing w:line="440" w:lineRule="exact"/>
              <w:rPr>
                <w:rFonts w:ascii="宋体" w:hAnsi="宋体" w:cs="宋体"/>
                <w:color w:val="000000" w:themeColor="text1"/>
                <w:kern w:val="0"/>
                <w:szCs w:val="21"/>
              </w:rPr>
            </w:pPr>
            <w:r>
              <w:rPr>
                <w:rFonts w:hint="eastAsia" w:ascii="宋体" w:hAnsi="宋体" w:cs="宋体"/>
                <w:color w:val="000000" w:themeColor="text1"/>
                <w:kern w:val="0"/>
                <w:szCs w:val="21"/>
              </w:rPr>
              <w:t>5、投标人获得中国产品质量放心品牌证书提供相关证明原件得1分，不提供不得分。</w:t>
            </w:r>
          </w:p>
          <w:p>
            <w:pPr>
              <w:rPr>
                <w:rFonts w:ascii="宋体" w:hAnsi="宋体" w:cs="宋体"/>
                <w:bCs/>
                <w:color w:val="000000" w:themeColor="text1"/>
                <w:szCs w:val="21"/>
              </w:rPr>
            </w:pPr>
            <w:r>
              <w:rPr>
                <w:rFonts w:hint="eastAsia" w:ascii="宋体" w:hAnsi="宋体" w:cs="宋体"/>
                <w:bCs/>
                <w:color w:val="000000" w:themeColor="text1"/>
                <w:szCs w:val="21"/>
              </w:rPr>
              <w:t>本项满分5分，缺项不得分（提供原件备查，无原件不记分）</w:t>
            </w:r>
          </w:p>
        </w:tc>
      </w:tr>
      <w:tr>
        <w:tblPrEx>
          <w:tblLayout w:type="fixed"/>
          <w:tblCellMar>
            <w:top w:w="0" w:type="dxa"/>
            <w:left w:w="108" w:type="dxa"/>
            <w:bottom w:w="0" w:type="dxa"/>
            <w:right w:w="108" w:type="dxa"/>
          </w:tblCellMar>
        </w:tblPrEx>
        <w:trPr>
          <w:trHeight w:val="900" w:hRule="atLeast"/>
        </w:trPr>
        <w:tc>
          <w:tcPr>
            <w:tcW w:w="79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3分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2016年1月1日以来有过相同非现场执法检测系统项目业绩（附中标通知书和合同书），每个业绩得基本分1分，最高得3分；</w:t>
            </w:r>
          </w:p>
        </w:tc>
      </w:tr>
      <w:tr>
        <w:tblPrEx>
          <w:tblLayout w:type="fixed"/>
          <w:tblCellMar>
            <w:top w:w="0" w:type="dxa"/>
            <w:left w:w="108" w:type="dxa"/>
            <w:bottom w:w="0" w:type="dxa"/>
            <w:right w:w="108" w:type="dxa"/>
          </w:tblCellMar>
        </w:tblPrEx>
        <w:trPr>
          <w:trHeight w:val="675" w:hRule="atLeast"/>
        </w:trPr>
        <w:tc>
          <w:tcPr>
            <w:tcW w:w="79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6分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主要车牌抓拍识别及监控产品设备厂家须具备以下资格：</w:t>
            </w:r>
          </w:p>
          <w:p>
            <w:pPr>
              <w:rPr>
                <w:rFonts w:ascii="宋体" w:hAnsi="宋体" w:cs="宋体"/>
                <w:bCs/>
                <w:color w:val="000000" w:themeColor="text1"/>
                <w:szCs w:val="21"/>
              </w:rPr>
            </w:pPr>
            <w:r>
              <w:rPr>
                <w:rFonts w:hint="eastAsia" w:ascii="宋体" w:hAnsi="宋体" w:cs="宋体"/>
                <w:bCs/>
                <w:color w:val="000000" w:themeColor="text1"/>
                <w:szCs w:val="21"/>
              </w:rPr>
              <w:t>1、安防监控设备制造商获得年度责任品牌奖，</w:t>
            </w:r>
            <w:r>
              <w:rPr>
                <w:rFonts w:hint="eastAsia" w:ascii="宋体" w:hAnsi="宋体"/>
                <w:color w:val="000000" w:themeColor="text1"/>
                <w:szCs w:val="21"/>
              </w:rPr>
              <w:t>提供针对本项目的证明材料复印件加盖厂家公章，</w:t>
            </w:r>
            <w:r>
              <w:rPr>
                <w:rFonts w:hint="eastAsia" w:ascii="宋体" w:hAnsi="宋体" w:cs="宋体"/>
                <w:bCs/>
                <w:color w:val="000000" w:themeColor="text1"/>
                <w:szCs w:val="21"/>
              </w:rPr>
              <w:t>得2分，不提供不得分</w:t>
            </w:r>
          </w:p>
          <w:p>
            <w:pPr>
              <w:rPr>
                <w:rFonts w:ascii="宋体" w:hAnsi="宋体" w:cs="宋体"/>
                <w:bCs/>
                <w:color w:val="000000" w:themeColor="text1"/>
                <w:szCs w:val="21"/>
              </w:rPr>
            </w:pPr>
            <w:r>
              <w:rPr>
                <w:rFonts w:hint="eastAsia" w:ascii="宋体" w:hAnsi="宋体" w:cs="宋体"/>
                <w:bCs/>
                <w:color w:val="000000" w:themeColor="text1"/>
                <w:szCs w:val="21"/>
              </w:rPr>
              <w:t>2、为证明企业在工信领域标准化水平及综合竞争力，所投监控设备供应商获得工信领域第一批标准化示范企业创建单位，</w:t>
            </w:r>
            <w:r>
              <w:rPr>
                <w:rFonts w:hint="eastAsia" w:ascii="宋体" w:hAnsi="宋体"/>
                <w:color w:val="000000" w:themeColor="text1"/>
                <w:szCs w:val="21"/>
              </w:rPr>
              <w:t>提供针对本项目的证明材料复印件加盖厂家公章，</w:t>
            </w:r>
            <w:r>
              <w:rPr>
                <w:rFonts w:hint="eastAsia" w:ascii="宋体" w:hAnsi="宋体" w:cs="宋体"/>
                <w:bCs/>
                <w:color w:val="000000" w:themeColor="text1"/>
                <w:szCs w:val="21"/>
              </w:rPr>
              <w:t>得2分，不提供不得分</w:t>
            </w:r>
          </w:p>
          <w:p>
            <w:pPr>
              <w:rPr>
                <w:rFonts w:ascii="宋体" w:hAnsi="宋体" w:cs="宋体"/>
                <w:bCs/>
                <w:color w:val="000000" w:themeColor="text1"/>
                <w:szCs w:val="21"/>
              </w:rPr>
            </w:pPr>
            <w:r>
              <w:rPr>
                <w:rFonts w:hint="eastAsia" w:ascii="宋体" w:hAnsi="宋体" w:cs="宋体"/>
                <w:bCs/>
                <w:color w:val="000000" w:themeColor="text1"/>
                <w:szCs w:val="21"/>
              </w:rPr>
              <w:t>3、监控设备制造商获得过全国电子信息行业最具潜力企业，</w:t>
            </w:r>
            <w:r>
              <w:rPr>
                <w:rFonts w:hint="eastAsia" w:ascii="宋体" w:hAnsi="宋体"/>
                <w:color w:val="000000" w:themeColor="text1"/>
                <w:szCs w:val="21"/>
              </w:rPr>
              <w:t>提供针对本项目的证明材料复印件加盖厂家公章，</w:t>
            </w:r>
            <w:r>
              <w:rPr>
                <w:rFonts w:hint="eastAsia" w:ascii="宋体" w:hAnsi="宋体" w:cs="宋体"/>
                <w:bCs/>
                <w:color w:val="000000" w:themeColor="text1"/>
                <w:szCs w:val="21"/>
              </w:rPr>
              <w:t>得2分，不提供不得分</w:t>
            </w:r>
          </w:p>
        </w:tc>
      </w:tr>
      <w:tr>
        <w:tblPrEx>
          <w:tblLayout w:type="fixed"/>
          <w:tblCellMar>
            <w:top w:w="0" w:type="dxa"/>
            <w:left w:w="108" w:type="dxa"/>
            <w:bottom w:w="0" w:type="dxa"/>
            <w:right w:w="108" w:type="dxa"/>
          </w:tblCellMar>
        </w:tblPrEx>
        <w:trPr>
          <w:trHeight w:val="675" w:hRule="atLeast"/>
        </w:trPr>
        <w:tc>
          <w:tcPr>
            <w:tcW w:w="79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5分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olor w:val="000000" w:themeColor="text1"/>
                <w:szCs w:val="21"/>
              </w:rPr>
              <w:t>为体现投标人售后服务能力，投标人具有5星售后服务认证证书且证书覆盖范围须包含计算机信息系统集成、衡器、仪器仪表等本项目涵盖项。本项得5分。</w:t>
            </w:r>
            <w:r>
              <w:rPr>
                <w:rFonts w:hint="eastAsia" w:ascii="宋体" w:hAnsi="宋体" w:cs="宋体"/>
                <w:bCs/>
                <w:color w:val="000000" w:themeColor="text1"/>
                <w:szCs w:val="21"/>
              </w:rPr>
              <w:t>（提供原件备查，无原件不记分）</w:t>
            </w:r>
          </w:p>
        </w:tc>
      </w:tr>
      <w:tr>
        <w:tblPrEx>
          <w:tblLayout w:type="fixed"/>
          <w:tblCellMar>
            <w:top w:w="0" w:type="dxa"/>
            <w:left w:w="108" w:type="dxa"/>
            <w:bottom w:w="0" w:type="dxa"/>
            <w:right w:w="108" w:type="dxa"/>
          </w:tblCellMar>
        </w:tblPrEx>
        <w:trPr>
          <w:trHeight w:val="468" w:hRule="atLeast"/>
        </w:trPr>
        <w:tc>
          <w:tcPr>
            <w:tcW w:w="79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12分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 xml:space="preserve">为体现投标人技术研发实力，投标人具有高精度智能数据处理装置、道路智能监管系统、多通道传感器称重处理器、温度补偿式轴重秤、车辆超载超限称重管理等适用于本项目核心产品的相关专利证书，每提供一个得3分，不提供不得分，满分12分。（提供原件备查，无原件不记分）  </w:t>
            </w:r>
          </w:p>
        </w:tc>
      </w:tr>
      <w:tr>
        <w:tblPrEx>
          <w:tblLayout w:type="fixed"/>
          <w:tblCellMar>
            <w:top w:w="0" w:type="dxa"/>
            <w:left w:w="108" w:type="dxa"/>
            <w:bottom w:w="0" w:type="dxa"/>
            <w:right w:w="108" w:type="dxa"/>
          </w:tblCellMar>
        </w:tblPrEx>
        <w:trPr>
          <w:trHeight w:val="468" w:hRule="atLeast"/>
        </w:trPr>
        <w:tc>
          <w:tcPr>
            <w:tcW w:w="790" w:type="dxa"/>
            <w:vMerge w:val="continue"/>
            <w:tcBorders>
              <w:left w:val="single" w:color="auto" w:sz="4" w:space="0"/>
              <w:bottom w:val="single" w:color="000000"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bottom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6分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投标人具有防作弊称重管理相关软件《计算机软件著作权登记证书》同时具有三个及以上的得6分，否则不得分（开标时提供含有防作弊字样的证书原件，无原件此项不计分）</w:t>
            </w:r>
          </w:p>
        </w:tc>
      </w:tr>
      <w:tr>
        <w:tblPrEx>
          <w:tblLayout w:type="fixed"/>
          <w:tblCellMar>
            <w:top w:w="0" w:type="dxa"/>
            <w:left w:w="108" w:type="dxa"/>
            <w:bottom w:w="0" w:type="dxa"/>
            <w:right w:w="108" w:type="dxa"/>
          </w:tblCellMar>
        </w:tblPrEx>
        <w:trPr>
          <w:trHeight w:val="1125" w:hRule="atLeast"/>
        </w:trPr>
        <w:tc>
          <w:tcPr>
            <w:tcW w:w="79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3</w:t>
            </w:r>
          </w:p>
        </w:tc>
        <w:tc>
          <w:tcPr>
            <w:tcW w:w="147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技术</w:t>
            </w:r>
          </w:p>
          <w:p>
            <w:pPr>
              <w:jc w:val="center"/>
              <w:rPr>
                <w:rFonts w:ascii="宋体" w:hAnsi="宋体" w:cs="宋体"/>
                <w:bCs/>
                <w:color w:val="000000" w:themeColor="text1"/>
                <w:szCs w:val="21"/>
              </w:rPr>
            </w:pPr>
            <w:r>
              <w:rPr>
                <w:rFonts w:hint="eastAsia" w:ascii="宋体" w:hAnsi="宋体" w:cs="宋体"/>
                <w:bCs/>
                <w:color w:val="000000" w:themeColor="text1"/>
                <w:szCs w:val="21"/>
              </w:rPr>
              <w:t>(30分)</w:t>
            </w: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5分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技术方案与施工组织先进、科学合理、切实可行，描述详实，技术措施可操作性，对产品质量、供货期的保障措施；对人员培训计划的安排、以及设备遇到重大故障的应急预案的建议等评定，得分为1-5分</w:t>
            </w:r>
          </w:p>
        </w:tc>
      </w:tr>
      <w:tr>
        <w:tblPrEx>
          <w:tblLayout w:type="fixed"/>
          <w:tblCellMar>
            <w:top w:w="0" w:type="dxa"/>
            <w:left w:w="108" w:type="dxa"/>
            <w:bottom w:w="0" w:type="dxa"/>
            <w:right w:w="108" w:type="dxa"/>
          </w:tblCellMar>
        </w:tblPrEx>
        <w:trPr>
          <w:trHeight w:val="597" w:hRule="atLeast"/>
        </w:trPr>
        <w:tc>
          <w:tcPr>
            <w:tcW w:w="79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Cs/>
                <w:color w:val="000000" w:themeColor="text1"/>
                <w:szCs w:val="21"/>
              </w:rPr>
            </w:pPr>
          </w:p>
        </w:tc>
        <w:tc>
          <w:tcPr>
            <w:tcW w:w="1470"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Cs/>
                <w:color w:val="000000" w:themeColor="text1"/>
                <w:szCs w:val="21"/>
              </w:rPr>
            </w:pPr>
          </w:p>
        </w:tc>
        <w:tc>
          <w:tcPr>
            <w:tcW w:w="1020" w:type="dxa"/>
            <w:tcBorders>
              <w:top w:val="nil"/>
              <w:left w:val="nil"/>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20分</w:t>
            </w:r>
          </w:p>
        </w:tc>
        <w:tc>
          <w:tcPr>
            <w:tcW w:w="5565" w:type="dxa"/>
            <w:tcBorders>
              <w:top w:val="nil"/>
              <w:left w:val="nil"/>
              <w:bottom w:val="single" w:color="auto" w:sz="4" w:space="0"/>
              <w:right w:val="single" w:color="auto" w:sz="4" w:space="0"/>
            </w:tcBorders>
            <w:vAlign w:val="center"/>
          </w:tcPr>
          <w:p>
            <w:pPr>
              <w:rPr>
                <w:rFonts w:ascii="宋体" w:hAnsi="宋体" w:cs="宋体"/>
                <w:bCs/>
                <w:color w:val="000000" w:themeColor="text1"/>
                <w:szCs w:val="21"/>
              </w:rPr>
            </w:pPr>
            <w:r>
              <w:rPr>
                <w:rFonts w:hint="eastAsia" w:ascii="宋体" w:hAnsi="宋体" w:cs="宋体"/>
                <w:bCs/>
                <w:color w:val="000000" w:themeColor="text1"/>
                <w:szCs w:val="21"/>
              </w:rPr>
              <w:t>投标设备技术参数符合情况：完全满足招标文件要求的得20分；投标设备的技术指标或功能每有一项技术指标或功能不满足扣1分，扣完为止（要求提供证明材料的参数，须提供相关证明材料复印件加盖原厂公章否则视为不满足招标文件技术要求）。</w:t>
            </w:r>
          </w:p>
        </w:tc>
      </w:tr>
      <w:tr>
        <w:tblPrEx>
          <w:tblLayout w:type="fixed"/>
          <w:tblCellMar>
            <w:top w:w="0" w:type="dxa"/>
            <w:left w:w="108" w:type="dxa"/>
            <w:bottom w:w="0" w:type="dxa"/>
            <w:right w:w="108" w:type="dxa"/>
          </w:tblCellMar>
        </w:tblPrEx>
        <w:trPr>
          <w:trHeight w:val="935" w:hRule="atLeast"/>
        </w:trPr>
        <w:tc>
          <w:tcPr>
            <w:tcW w:w="790" w:type="dxa"/>
            <w:vMerge w:val="continue"/>
            <w:tcBorders>
              <w:left w:val="single" w:color="auto" w:sz="4" w:space="0"/>
              <w:bottom w:val="single" w:color="auto" w:sz="4" w:space="0"/>
              <w:right w:val="single" w:color="auto" w:sz="4" w:space="0"/>
            </w:tcBorders>
            <w:vAlign w:val="center"/>
          </w:tcPr>
          <w:p>
            <w:pPr>
              <w:rPr>
                <w:rFonts w:ascii="宋体" w:hAnsi="宋体" w:cs="宋体"/>
                <w:bCs/>
                <w:color w:val="000000" w:themeColor="text1"/>
                <w:szCs w:val="21"/>
              </w:rPr>
            </w:pPr>
          </w:p>
        </w:tc>
        <w:tc>
          <w:tcPr>
            <w:tcW w:w="1470" w:type="dxa"/>
            <w:vMerge w:val="continue"/>
            <w:tcBorders>
              <w:left w:val="single" w:color="auto" w:sz="4" w:space="0"/>
              <w:bottom w:val="single" w:color="auto" w:sz="4" w:space="0"/>
              <w:right w:val="single" w:color="auto" w:sz="4" w:space="0"/>
            </w:tcBorders>
            <w:vAlign w:val="center"/>
          </w:tcPr>
          <w:p>
            <w:pPr>
              <w:rPr>
                <w:rFonts w:ascii="宋体" w:hAnsi="宋体" w:cs="宋体"/>
                <w:bCs/>
                <w:color w:val="000000" w:themeColor="text1"/>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themeColor="text1"/>
                <w:szCs w:val="21"/>
              </w:rPr>
            </w:pPr>
            <w:r>
              <w:rPr>
                <w:rFonts w:hint="eastAsia" w:ascii="宋体" w:hAnsi="宋体" w:cs="宋体"/>
                <w:bCs/>
                <w:color w:val="000000" w:themeColor="text1"/>
                <w:szCs w:val="21"/>
              </w:rPr>
              <w:t>5分</w:t>
            </w:r>
          </w:p>
        </w:tc>
        <w:tc>
          <w:tcPr>
            <w:tcW w:w="5565"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cs="宋体"/>
                <w:bCs/>
                <w:color w:val="000000" w:themeColor="text1"/>
                <w:szCs w:val="21"/>
              </w:rPr>
            </w:pPr>
            <w:r>
              <w:rPr>
                <w:rFonts w:hint="eastAsia" w:ascii="宋体" w:hAnsi="宋体" w:cs="宋体"/>
                <w:bCs/>
                <w:color w:val="000000" w:themeColor="text1"/>
                <w:szCs w:val="21"/>
              </w:rPr>
              <w:t>针对该项目的人员培训，投标人需制定详细的人员培训计划，根据课程的安排、培训内容、师资情况进行评分（0-2分）</w:t>
            </w:r>
          </w:p>
          <w:p>
            <w:pPr>
              <w:numPr>
                <w:ilvl w:val="0"/>
                <w:numId w:val="2"/>
              </w:numPr>
              <w:rPr>
                <w:rFonts w:ascii="宋体" w:hAnsi="宋体" w:cs="宋体"/>
                <w:bCs/>
                <w:color w:val="000000" w:themeColor="text1"/>
                <w:szCs w:val="21"/>
              </w:rPr>
            </w:pPr>
            <w:r>
              <w:rPr>
                <w:rFonts w:hint="eastAsia" w:ascii="宋体" w:hAnsi="宋体" w:cs="宋体"/>
                <w:bCs/>
                <w:color w:val="000000" w:themeColor="text1"/>
                <w:szCs w:val="21"/>
              </w:rPr>
              <w:t>售后服务措施及后续服务保障；根据投标人制定的服务计划合理性进行评分（0-2分）</w:t>
            </w:r>
          </w:p>
          <w:p>
            <w:pPr>
              <w:numPr>
                <w:ilvl w:val="0"/>
                <w:numId w:val="2"/>
              </w:numPr>
              <w:rPr>
                <w:rFonts w:ascii="宋体" w:hAnsi="宋体" w:cs="宋体"/>
                <w:bCs/>
                <w:color w:val="000000" w:themeColor="text1"/>
                <w:szCs w:val="21"/>
              </w:rPr>
            </w:pPr>
            <w:r>
              <w:rPr>
                <w:rFonts w:hint="eastAsia" w:ascii="宋体" w:hAnsi="宋体" w:cs="宋体"/>
                <w:bCs/>
                <w:color w:val="000000" w:themeColor="text1"/>
                <w:szCs w:val="21"/>
              </w:rPr>
              <w:t>根据投标人提出的有利于招标人的相关承诺进行评分（0-1分）</w:t>
            </w:r>
          </w:p>
        </w:tc>
      </w:tr>
    </w:tbl>
    <w:p>
      <w:pPr>
        <w:pStyle w:val="2"/>
        <w:rPr>
          <w:rFonts w:ascii="宋体" w:hAnsi="宋体" w:cs="宋体"/>
          <w:color w:val="000000" w:themeColor="text1"/>
          <w:sz w:val="21"/>
          <w:szCs w:val="21"/>
        </w:rPr>
      </w:pPr>
      <w:bookmarkStart w:id="229" w:name="_Toc509393053"/>
      <w:bookmarkStart w:id="230" w:name="_Toc509321734"/>
      <w:bookmarkStart w:id="231" w:name="_Toc15329"/>
      <w:r>
        <w:rPr>
          <w:rFonts w:ascii="宋体" w:hAnsi="宋体"/>
          <w:color w:val="000000" w:themeColor="text1"/>
          <w:kern w:val="0"/>
          <w:sz w:val="21"/>
          <w:szCs w:val="21"/>
        </w:rPr>
        <w:t>2</w:t>
      </w:r>
      <w:r>
        <w:rPr>
          <w:rFonts w:hint="eastAsia" w:ascii="宋体" w:hAnsi="宋体"/>
          <w:color w:val="000000" w:themeColor="text1"/>
          <w:kern w:val="0"/>
          <w:sz w:val="21"/>
          <w:szCs w:val="21"/>
        </w:rPr>
        <w:t>、评标方法</w:t>
      </w:r>
      <w:bookmarkEnd w:id="229"/>
      <w:bookmarkEnd w:id="230"/>
      <w:bookmarkEnd w:id="231"/>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次评标采用综合评估法。评标委员会对满足招标文件要求的投标文件，按照本章评标办法前附表规定的评分标准进行打分，本项目按综合得分由高到低顺序推荐3名中标候选人，但投标报价低于其成本的除外。综合评分相等时，以投标报价低的优先；投标报价也相等的，由采购人自行确定。</w:t>
      </w:r>
    </w:p>
    <w:p>
      <w:pPr>
        <w:pStyle w:val="2"/>
        <w:rPr>
          <w:rFonts w:ascii="宋体" w:hAnsi="宋体"/>
          <w:color w:val="000000" w:themeColor="text1"/>
          <w:kern w:val="0"/>
          <w:sz w:val="21"/>
          <w:szCs w:val="21"/>
        </w:rPr>
      </w:pPr>
      <w:bookmarkStart w:id="232" w:name="_Toc18570"/>
      <w:bookmarkStart w:id="233" w:name="_Toc29802"/>
      <w:bookmarkStart w:id="234" w:name="_Toc100"/>
      <w:bookmarkStart w:id="235" w:name="_Toc20713"/>
      <w:bookmarkStart w:id="236" w:name="_Toc492055573"/>
      <w:bookmarkStart w:id="237" w:name="_Toc184635094"/>
      <w:bookmarkStart w:id="238" w:name="_Toc13425"/>
      <w:bookmarkStart w:id="239" w:name="_Toc414209701"/>
      <w:bookmarkStart w:id="240" w:name="_Toc415738825"/>
      <w:bookmarkStart w:id="241" w:name="_Toc509321735"/>
      <w:bookmarkStart w:id="242" w:name="_Toc30255"/>
      <w:bookmarkStart w:id="243" w:name="_Toc15101"/>
      <w:bookmarkStart w:id="244" w:name="_Toc28541"/>
      <w:bookmarkStart w:id="245" w:name="_Toc28050"/>
      <w:bookmarkStart w:id="246" w:name="_Toc10070"/>
      <w:bookmarkStart w:id="247" w:name="_Toc8230"/>
      <w:bookmarkStart w:id="248" w:name="_Toc5412"/>
      <w:bookmarkStart w:id="249" w:name="_Toc17256"/>
      <w:bookmarkStart w:id="250" w:name="_Toc414209268"/>
      <w:bookmarkStart w:id="251" w:name="_Toc509393054"/>
      <w:bookmarkStart w:id="252" w:name="_Toc10797"/>
      <w:bookmarkStart w:id="253" w:name="_Toc11976"/>
      <w:r>
        <w:rPr>
          <w:rFonts w:ascii="宋体" w:hAnsi="宋体"/>
          <w:color w:val="000000" w:themeColor="text1"/>
          <w:kern w:val="0"/>
          <w:sz w:val="21"/>
          <w:szCs w:val="21"/>
        </w:rPr>
        <w:t>3</w:t>
      </w:r>
      <w:r>
        <w:rPr>
          <w:rFonts w:hint="eastAsia" w:ascii="宋体" w:hAnsi="宋体"/>
          <w:color w:val="000000" w:themeColor="text1"/>
          <w:kern w:val="0"/>
          <w:sz w:val="21"/>
          <w:szCs w:val="21"/>
        </w:rPr>
        <w:t>、评审标准</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rPr>
          <w:rFonts w:ascii="宋体" w:cs="宋体"/>
          <w:b/>
          <w:bCs/>
          <w:color w:val="000000" w:themeColor="text1"/>
          <w:szCs w:val="21"/>
        </w:rPr>
      </w:pPr>
      <w:bookmarkStart w:id="254" w:name="_Toc279152958"/>
      <w:bookmarkStart w:id="255" w:name="_Toc271620548"/>
      <w:bookmarkStart w:id="256" w:name="_Toc317847315"/>
      <w:bookmarkStart w:id="257" w:name="_Toc274921200"/>
      <w:bookmarkStart w:id="258" w:name="_Toc317764811"/>
      <w:bookmarkStart w:id="259" w:name="_Toc278725591"/>
      <w:bookmarkStart w:id="260" w:name="_Toc245188130"/>
      <w:bookmarkStart w:id="261" w:name="_Toc317765257"/>
      <w:bookmarkStart w:id="262" w:name="_Toc245187950"/>
      <w:bookmarkStart w:id="263" w:name="_Toc184635095"/>
      <w:r>
        <w:rPr>
          <w:rFonts w:ascii="宋体" w:hAnsi="宋体" w:cs="宋体"/>
          <w:b/>
          <w:bCs/>
          <w:color w:val="000000" w:themeColor="text1"/>
          <w:szCs w:val="21"/>
        </w:rPr>
        <w:t xml:space="preserve">3.1 </w:t>
      </w:r>
      <w:r>
        <w:rPr>
          <w:rFonts w:hint="eastAsia" w:ascii="宋体" w:hAnsi="宋体" w:cs="宋体"/>
          <w:b/>
          <w:bCs/>
          <w:color w:val="000000" w:themeColor="text1"/>
          <w:szCs w:val="21"/>
        </w:rPr>
        <w:t>初步评审标准</w:t>
      </w:r>
      <w:bookmarkEnd w:id="254"/>
      <w:bookmarkEnd w:id="255"/>
      <w:bookmarkEnd w:id="256"/>
      <w:bookmarkEnd w:id="257"/>
      <w:bookmarkEnd w:id="258"/>
      <w:bookmarkEnd w:id="259"/>
      <w:bookmarkEnd w:id="260"/>
      <w:bookmarkEnd w:id="261"/>
      <w:bookmarkEnd w:id="262"/>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3.1.1 形式评审标准：见评标办法前附表。</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3.1.2 资格评审标准：见评标办法前附表。</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3.1.3 响应性评审标准：见评标办法前附表。</w:t>
      </w:r>
    </w:p>
    <w:p>
      <w:pPr>
        <w:rPr>
          <w:rFonts w:ascii="宋体" w:cs="宋体"/>
          <w:b/>
          <w:bCs/>
          <w:color w:val="000000" w:themeColor="text1"/>
          <w:szCs w:val="21"/>
        </w:rPr>
      </w:pPr>
      <w:bookmarkStart w:id="264" w:name="_Toc245188131"/>
      <w:bookmarkStart w:id="265" w:name="_Toc245187951"/>
      <w:bookmarkStart w:id="266" w:name="_Toc317847316"/>
      <w:r>
        <w:rPr>
          <w:rFonts w:ascii="宋体" w:hAnsi="宋体" w:cs="宋体"/>
          <w:b/>
          <w:bCs/>
          <w:color w:val="000000" w:themeColor="text1"/>
          <w:szCs w:val="21"/>
        </w:rPr>
        <w:t xml:space="preserve">3.2 </w:t>
      </w:r>
      <w:r>
        <w:rPr>
          <w:rFonts w:hint="eastAsia" w:ascii="宋体" w:hAnsi="宋体" w:cs="宋体"/>
          <w:b/>
          <w:bCs/>
          <w:color w:val="000000" w:themeColor="text1"/>
          <w:szCs w:val="21"/>
        </w:rPr>
        <w:t>详细评审标准</w:t>
      </w:r>
      <w:bookmarkEnd w:id="264"/>
      <w:bookmarkEnd w:id="265"/>
      <w:bookmarkEnd w:id="266"/>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3.2.1 分值构成：见评标办法前附表。</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3.2.2 评分标准：见评标办法前附表。</w:t>
      </w:r>
    </w:p>
    <w:p>
      <w:pPr>
        <w:pStyle w:val="2"/>
        <w:rPr>
          <w:rFonts w:ascii="宋体" w:hAnsi="宋体"/>
          <w:color w:val="000000" w:themeColor="text1"/>
          <w:kern w:val="0"/>
          <w:sz w:val="21"/>
          <w:szCs w:val="21"/>
        </w:rPr>
      </w:pPr>
      <w:bookmarkStart w:id="267" w:name="_Toc7022"/>
      <w:bookmarkStart w:id="268" w:name="_Toc23205"/>
      <w:bookmarkStart w:id="269" w:name="_Toc509393055"/>
      <w:bookmarkStart w:id="270" w:name="_Toc25448"/>
      <w:bookmarkStart w:id="271" w:name="_Toc20283"/>
      <w:bookmarkStart w:id="272" w:name="_Toc27230"/>
      <w:bookmarkStart w:id="273" w:name="_Toc492055574"/>
      <w:bookmarkStart w:id="274" w:name="_Toc13938"/>
      <w:bookmarkStart w:id="275" w:name="_Toc509321736"/>
      <w:bookmarkStart w:id="276" w:name="_Toc9651"/>
      <w:bookmarkStart w:id="277" w:name="_Toc1610"/>
      <w:bookmarkStart w:id="278" w:name="_Toc11175"/>
      <w:bookmarkStart w:id="279" w:name="_Toc4251"/>
      <w:bookmarkStart w:id="280" w:name="_Toc26173"/>
      <w:bookmarkStart w:id="281" w:name="_Toc21991"/>
      <w:bookmarkStart w:id="282" w:name="_Toc20821"/>
      <w:bookmarkStart w:id="283" w:name="_Toc18394"/>
      <w:bookmarkStart w:id="284" w:name="_Toc414209702"/>
      <w:bookmarkStart w:id="285" w:name="_Toc4093"/>
      <w:bookmarkStart w:id="286" w:name="_Toc414209269"/>
      <w:bookmarkStart w:id="287" w:name="_Toc415738826"/>
      <w:r>
        <w:rPr>
          <w:rFonts w:ascii="宋体" w:hAnsi="宋体"/>
          <w:color w:val="000000" w:themeColor="text1"/>
          <w:kern w:val="0"/>
          <w:sz w:val="21"/>
          <w:szCs w:val="21"/>
        </w:rPr>
        <w:t>4</w:t>
      </w:r>
      <w:r>
        <w:rPr>
          <w:rFonts w:hint="eastAsia" w:ascii="宋体" w:hAnsi="宋体"/>
          <w:color w:val="000000" w:themeColor="text1"/>
          <w:kern w:val="0"/>
          <w:sz w:val="21"/>
          <w:szCs w:val="21"/>
        </w:rPr>
        <w:t>、评标程序</w:t>
      </w:r>
      <w:bookmarkEnd w:id="263"/>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rPr>
          <w:rFonts w:ascii="宋体" w:cs="宋体"/>
          <w:b/>
          <w:bCs/>
          <w:color w:val="000000" w:themeColor="text1"/>
          <w:szCs w:val="21"/>
        </w:rPr>
      </w:pPr>
      <w:r>
        <w:rPr>
          <w:rFonts w:ascii="宋体" w:hAnsi="宋体" w:cs="宋体"/>
          <w:b/>
          <w:bCs/>
          <w:color w:val="000000" w:themeColor="text1"/>
          <w:szCs w:val="21"/>
        </w:rPr>
        <w:t xml:space="preserve">4.1 </w:t>
      </w:r>
      <w:r>
        <w:rPr>
          <w:rFonts w:hint="eastAsia" w:ascii="宋体" w:hAnsi="宋体" w:cs="宋体"/>
          <w:b/>
          <w:bCs/>
          <w:color w:val="000000" w:themeColor="text1"/>
          <w:szCs w:val="21"/>
        </w:rPr>
        <w:t>初步评审</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4.1.1 依据中华人民共和国财政部令第87号（87号令）第四十四条规定，开标后采购人或采购代理机构将对投标单位的资格证明材料进行资格审核，不符合资格条件的投标将被拒绝。有一项不符合评审标准的，作废标处理。通过资格预审审查的投标人除应满足本章第2.1.1、2.1.2、2.1.3款规定的审查标准外,还不得存在下列任何一种情形:</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（1）拒不按审查委员会要求澄清或说明的；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（2）在资格审查过程中弄虚作假或有其他违法违规行为的。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4.1.2 投标报价有算术错误的，评标委员会按以下原则对投标报价进行修正，修正的价格经投标人书面确认后具有约束力。投标人不接受修正价格的，其投标作废标处理。</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（1）投标文件中的大写金额与小写金额不一致的，以大写金额为准（但大写金额有明显错误的除外）；</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（2）总价金额与依据单价计算出的结果不一致的，以单价金额为准修正总价，但单价金额小数点有明显错误的除外。</w:t>
      </w:r>
    </w:p>
    <w:p>
      <w:pPr>
        <w:pStyle w:val="2"/>
        <w:rPr>
          <w:rFonts w:ascii="宋体" w:hAnsi="宋体"/>
          <w:color w:val="000000" w:themeColor="text1"/>
          <w:kern w:val="0"/>
          <w:sz w:val="21"/>
          <w:szCs w:val="21"/>
        </w:rPr>
      </w:pPr>
      <w:r>
        <w:rPr>
          <w:rFonts w:ascii="宋体" w:hAnsi="宋体"/>
          <w:color w:val="000000" w:themeColor="text1"/>
          <w:kern w:val="0"/>
          <w:sz w:val="21"/>
          <w:szCs w:val="21"/>
        </w:rPr>
        <w:t xml:space="preserve">4.2 </w:t>
      </w:r>
      <w:r>
        <w:rPr>
          <w:rFonts w:hint="eastAsia" w:ascii="宋体" w:hAnsi="宋体"/>
          <w:color w:val="000000" w:themeColor="text1"/>
          <w:kern w:val="0"/>
          <w:sz w:val="21"/>
          <w:szCs w:val="21"/>
        </w:rPr>
        <w:t>详细评审</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4.2.1 评标委员会对通过资格审查的投标单位按本章评标办法前附表规定的量化因素和分值进行打分，并计算出综合评估得分。</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4.2.2 评分分值计算保留小数点后两位，小数点后第三位“四舍五入”。</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4.2.3投标人的最终得分以全部评委打分的算术平均值为准。</w:t>
      </w:r>
    </w:p>
    <w:p>
      <w:pPr>
        <w:pStyle w:val="2"/>
        <w:rPr>
          <w:rFonts w:ascii="宋体" w:hAnsi="宋体"/>
          <w:color w:val="000000" w:themeColor="text1"/>
          <w:kern w:val="0"/>
          <w:sz w:val="21"/>
          <w:szCs w:val="21"/>
        </w:rPr>
      </w:pPr>
      <w:r>
        <w:rPr>
          <w:rFonts w:ascii="宋体" w:hAnsi="宋体"/>
          <w:color w:val="000000" w:themeColor="text1"/>
          <w:kern w:val="0"/>
          <w:sz w:val="21"/>
          <w:szCs w:val="21"/>
        </w:rPr>
        <w:t xml:space="preserve">4.3 </w:t>
      </w:r>
      <w:r>
        <w:rPr>
          <w:rFonts w:hint="eastAsia" w:ascii="宋体" w:hAnsi="宋体"/>
          <w:color w:val="000000" w:themeColor="text1"/>
          <w:kern w:val="0"/>
          <w:sz w:val="21"/>
          <w:szCs w:val="21"/>
        </w:rPr>
        <w:t>投标文件的澄清和补正</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4.3.1 在评标过程中，评标委员会可以书面形式要求投标人对所提交投标文件中不明确的内容进行书面澄清或说明，或者对细微偏差进行补正。评标委员会不接受投标人主动提出的澄清、说明或补正。</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4.3.2 澄清、说明和补正不得改变投标文件的内容（算术性错误修正的除外）。投标人的书面澄清、说明和补正属于投标文件的组成部分。</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4.3.3 评标委员会对投标人提交的澄清、说明或补正有疑问的，可以要求投标人进一步澄清、说明或补正，直至满足评标委员会的要求。</w:t>
      </w:r>
    </w:p>
    <w:p>
      <w:pPr>
        <w:pStyle w:val="2"/>
        <w:rPr>
          <w:rFonts w:ascii="宋体" w:hAnsi="宋体"/>
          <w:color w:val="000000" w:themeColor="text1"/>
          <w:kern w:val="0"/>
          <w:sz w:val="21"/>
          <w:szCs w:val="21"/>
        </w:rPr>
      </w:pPr>
      <w:r>
        <w:rPr>
          <w:rFonts w:ascii="宋体" w:hAnsi="宋体"/>
          <w:color w:val="000000" w:themeColor="text1"/>
          <w:kern w:val="0"/>
          <w:sz w:val="21"/>
          <w:szCs w:val="21"/>
        </w:rPr>
        <w:t xml:space="preserve">4.4 </w:t>
      </w:r>
      <w:r>
        <w:rPr>
          <w:rFonts w:hint="eastAsia" w:ascii="宋体" w:hAnsi="宋体"/>
          <w:color w:val="000000" w:themeColor="text1"/>
          <w:kern w:val="0"/>
          <w:sz w:val="21"/>
          <w:szCs w:val="21"/>
        </w:rPr>
        <w:t>评标结果</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4.4.1 评标委员会完成评标后，应当向采购人提交书面评标报告。</w:t>
      </w:r>
      <w:bookmarkStart w:id="288" w:name="_Toc329271705"/>
    </w:p>
    <w:p>
      <w:pPr>
        <w:pStyle w:val="2"/>
        <w:rPr>
          <w:rFonts w:ascii="宋体" w:hAnsi="宋体" w:cs="宋体"/>
          <w:b w:val="0"/>
          <w:color w:val="000000" w:themeColor="text1"/>
          <w:sz w:val="21"/>
          <w:szCs w:val="21"/>
        </w:rPr>
      </w:pPr>
      <w:bookmarkStart w:id="289" w:name="_Toc509393056"/>
      <w:bookmarkStart w:id="290" w:name="_Toc509321737"/>
      <w:r>
        <w:rPr>
          <w:rFonts w:ascii="宋体" w:hAnsi="宋体"/>
          <w:color w:val="000000" w:themeColor="text1"/>
          <w:kern w:val="0"/>
          <w:sz w:val="21"/>
          <w:szCs w:val="21"/>
        </w:rPr>
        <w:t>5</w:t>
      </w:r>
      <w:r>
        <w:rPr>
          <w:rFonts w:hint="eastAsia" w:ascii="宋体" w:hAnsi="宋体"/>
          <w:color w:val="000000" w:themeColor="text1"/>
          <w:kern w:val="0"/>
          <w:sz w:val="21"/>
          <w:szCs w:val="21"/>
        </w:rPr>
        <w:t>、附件：废标条件</w:t>
      </w:r>
      <w:bookmarkEnd w:id="289"/>
      <w:bookmarkEnd w:id="290"/>
    </w:p>
    <w:bookmarkEnd w:id="288"/>
    <w:p>
      <w:pPr>
        <w:pStyle w:val="2"/>
        <w:rPr>
          <w:rFonts w:ascii="宋体" w:hAnsi="宋体"/>
          <w:color w:val="000000" w:themeColor="text1"/>
          <w:kern w:val="0"/>
          <w:sz w:val="21"/>
          <w:szCs w:val="21"/>
        </w:rPr>
      </w:pPr>
      <w:r>
        <w:rPr>
          <w:rFonts w:hint="eastAsia" w:ascii="宋体" w:hAnsi="宋体"/>
          <w:color w:val="000000" w:themeColor="text1"/>
          <w:kern w:val="0"/>
          <w:sz w:val="21"/>
          <w:szCs w:val="21"/>
        </w:rPr>
        <w:t>附</w:t>
      </w:r>
      <w:r>
        <w:rPr>
          <w:rFonts w:ascii="宋体" w:hAnsi="宋体"/>
          <w:color w:val="000000" w:themeColor="text1"/>
          <w:kern w:val="0"/>
          <w:sz w:val="21"/>
          <w:szCs w:val="21"/>
        </w:rPr>
        <w:t>1</w:t>
      </w:r>
      <w:r>
        <w:rPr>
          <w:rFonts w:hint="eastAsia" w:ascii="宋体" w:hAnsi="宋体"/>
          <w:color w:val="000000" w:themeColor="text1"/>
          <w:kern w:val="0"/>
          <w:sz w:val="21"/>
          <w:szCs w:val="21"/>
        </w:rPr>
        <w:t>总则</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pStyle w:val="2"/>
        <w:rPr>
          <w:rFonts w:ascii="宋体" w:hAnsi="宋体"/>
          <w:color w:val="000000" w:themeColor="text1"/>
          <w:kern w:val="0"/>
          <w:sz w:val="21"/>
          <w:szCs w:val="21"/>
        </w:rPr>
      </w:pPr>
      <w:r>
        <w:rPr>
          <w:rFonts w:hint="eastAsia" w:ascii="宋体" w:hAnsi="宋体"/>
          <w:color w:val="000000" w:themeColor="text1"/>
          <w:kern w:val="0"/>
          <w:sz w:val="21"/>
          <w:szCs w:val="21"/>
        </w:rPr>
        <w:t>附2废标条件</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投标人或其投标文件有下列情形之一的，其投标作废标处理：</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（1）投标文件未按照招标文件的要求予以编制、装订或密封的；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（2）投标文件未按招标文件规定进行法定代表人或其授权代表签字和加盖公章，未按规定设置页码和页码不连续的（但其中附加的彩页可不随投标文件编码）；</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（3）投标文件未按规定的格式填写，内容不全或关键字迹模糊、无法辨认的；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（4）投标人递交两份或多份内容不同的投标文件，或在一份投标文件中对同一招标项目未填写报价或同时提交了多个报价的；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（5）投标人以他人名义投标、串通投标，以提供虚假证件、文件等弄虚作假方式投标或者以行贿手段谋取中标的；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（6）投标文件正、副本数量不符和招标文件规定的；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（7）投标文件载明的招标项目完成期限超过招标文件规定的期限的；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（8）在形式评审、资格评审以及响应性评审时，投标文件不符合评标办法中规定的任何一项评审标准的；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（9）投标人的报价高于招标控制价，或明显低于其他投标报价，使得其投标报价可能低于其个别成本竞争又不合理说明的；</w:t>
      </w:r>
    </w:p>
    <w:p>
      <w:pPr>
        <w:spacing w:line="52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（10）投标文件附有采购人不能接受条件的。</w:t>
      </w:r>
    </w:p>
    <w:p>
      <w:pPr>
        <w:spacing w:line="520" w:lineRule="exact"/>
        <w:ind w:firstLine="422" w:firstLineChars="200"/>
        <w:rPr>
          <w:rFonts w:ascii="宋体" w:hAnsi="宋体" w:cs="宋体"/>
          <w:color w:val="000000" w:themeColor="text1"/>
          <w:szCs w:val="21"/>
        </w:rPr>
      </w:pPr>
      <w:bookmarkStart w:id="291" w:name="_Toc509321738"/>
      <w:r>
        <w:rPr>
          <w:rFonts w:hint="eastAsia" w:ascii="宋体" w:hAnsi="宋体" w:cs="宋体"/>
          <w:b/>
          <w:bCs/>
          <w:color w:val="000000" w:themeColor="text1"/>
          <w:szCs w:val="21"/>
        </w:rPr>
        <w:t>投标文件如有符合以上条件之一者，作废标处理，不再进行下一步评审。</w:t>
      </w:r>
      <w:bookmarkEnd w:id="291"/>
    </w:p>
    <w:p>
      <w:pPr>
        <w:spacing w:line="520" w:lineRule="exact"/>
        <w:ind w:firstLine="420" w:firstLineChars="200"/>
        <w:rPr>
          <w:rFonts w:ascii="宋体" w:hAnsi="宋体" w:cs="宋体"/>
          <w:color w:val="000000" w:themeColor="text1"/>
          <w:szCs w:val="21"/>
        </w:rPr>
        <w:sectPr>
          <w:footerReference r:id="rId4" w:type="first"/>
          <w:footerReference r:id="rId3" w:type="default"/>
          <w:pgSz w:w="11906" w:h="16838"/>
          <w:pgMar w:top="1417" w:right="1417" w:bottom="1417" w:left="1417" w:header="850" w:footer="992" w:gutter="0"/>
          <w:pgNumType w:fmt="numberInDash" w:start="1"/>
          <w:cols w:space="720" w:num="1"/>
          <w:titlePg/>
          <w:docGrid w:type="lines" w:linePitch="318" w:charSpace="0"/>
        </w:sectPr>
      </w:pPr>
    </w:p>
    <w:p>
      <w:pPr>
        <w:pStyle w:val="3"/>
        <w:rPr>
          <w:color w:val="000000" w:themeColor="text1"/>
          <w:szCs w:val="32"/>
        </w:rPr>
      </w:pPr>
      <w:bookmarkStart w:id="292" w:name="_Toc20733"/>
      <w:bookmarkStart w:id="293" w:name="_Toc492055575"/>
      <w:bookmarkStart w:id="294" w:name="_Toc509393057"/>
      <w:bookmarkStart w:id="295" w:name="_Toc505243176"/>
      <w:bookmarkStart w:id="296" w:name="_Toc504493818"/>
      <w:bookmarkStart w:id="297" w:name="_Toc509321739"/>
      <w:bookmarkStart w:id="298" w:name="_Toc152045609"/>
      <w:bookmarkStart w:id="299" w:name="_Toc246996252"/>
      <w:bookmarkStart w:id="300" w:name="_Toc296602497"/>
      <w:bookmarkStart w:id="301" w:name="_Toc246996995"/>
      <w:bookmarkStart w:id="302" w:name="_Toc179632627"/>
      <w:bookmarkStart w:id="303" w:name="_Toc144974577"/>
      <w:bookmarkStart w:id="304" w:name="_Toc152042387"/>
      <w:bookmarkStart w:id="305" w:name="_Toc247085767"/>
      <w:r>
        <w:rPr>
          <w:rFonts w:hint="eastAsia"/>
          <w:color w:val="000000" w:themeColor="text1"/>
          <w:szCs w:val="32"/>
        </w:rPr>
        <w:t>第四章规格及技术要求</w:t>
      </w:r>
      <w:bookmarkEnd w:id="292"/>
      <w:bookmarkEnd w:id="293"/>
      <w:bookmarkEnd w:id="294"/>
      <w:bookmarkEnd w:id="295"/>
      <w:bookmarkEnd w:id="296"/>
      <w:bookmarkEnd w:id="297"/>
      <w:bookmarkStart w:id="306" w:name="_Toc9048"/>
      <w:bookmarkStart w:id="307" w:name="_Toc24178"/>
      <w:bookmarkStart w:id="308" w:name="_Toc242"/>
      <w:bookmarkStart w:id="309" w:name="_Toc415738829"/>
      <w:bookmarkStart w:id="310" w:name="_Toc18606"/>
      <w:bookmarkStart w:id="311" w:name="_Toc3043"/>
      <w:bookmarkStart w:id="312" w:name="_Toc492055576"/>
      <w:bookmarkStart w:id="313" w:name="_Toc24052"/>
    </w:p>
    <w:tbl>
      <w:tblPr>
        <w:tblStyle w:val="14"/>
        <w:tblW w:w="14280" w:type="dxa"/>
        <w:tblInd w:w="-269" w:type="dxa"/>
        <w:tblLayout w:type="fixed"/>
        <w:tblCellMar>
          <w:top w:w="15" w:type="dxa"/>
          <w:left w:w="15" w:type="dxa"/>
          <w:bottom w:w="15" w:type="dxa"/>
          <w:right w:w="15" w:type="dxa"/>
        </w:tblCellMar>
      </w:tblPr>
      <w:tblGrid>
        <w:gridCol w:w="991"/>
        <w:gridCol w:w="1451"/>
        <w:gridCol w:w="9956"/>
        <w:gridCol w:w="808"/>
        <w:gridCol w:w="1074"/>
      </w:tblGrid>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themeColor="text1"/>
                <w:szCs w:val="21"/>
              </w:rPr>
            </w:pPr>
            <w:r>
              <w:rPr>
                <w:rFonts w:hint="eastAsia" w:ascii="宋体" w:hAnsi="宋体" w:cs="宋体"/>
                <w:b/>
                <w:color w:val="000000" w:themeColor="text1"/>
                <w:kern w:val="0"/>
                <w:szCs w:val="21"/>
              </w:rPr>
              <w:t>序号</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themeColor="text1"/>
                <w:szCs w:val="21"/>
              </w:rPr>
            </w:pPr>
            <w:r>
              <w:rPr>
                <w:rFonts w:hint="eastAsia" w:ascii="宋体" w:hAnsi="宋体" w:cs="宋体"/>
                <w:b/>
                <w:color w:val="000000" w:themeColor="text1"/>
                <w:kern w:val="0"/>
                <w:szCs w:val="21"/>
              </w:rPr>
              <w:t>设备名称</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themeColor="text1"/>
                <w:szCs w:val="21"/>
              </w:rPr>
            </w:pPr>
            <w:r>
              <w:rPr>
                <w:rFonts w:hint="eastAsia" w:ascii="宋体" w:hAnsi="宋体" w:cs="宋体"/>
                <w:b/>
                <w:color w:val="000000" w:themeColor="text1"/>
                <w:kern w:val="0"/>
                <w:szCs w:val="21"/>
              </w:rPr>
              <w:t>技术参数</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themeColor="text1"/>
                <w:szCs w:val="21"/>
              </w:rPr>
            </w:pPr>
            <w:r>
              <w:rPr>
                <w:rFonts w:hint="eastAsia" w:ascii="宋体" w:hAnsi="宋体" w:cs="宋体"/>
                <w:b/>
                <w:color w:val="000000" w:themeColor="text1"/>
                <w:kern w:val="0"/>
                <w:szCs w:val="21"/>
              </w:rPr>
              <w:t>单位</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themeColor="text1"/>
                <w:szCs w:val="21"/>
              </w:rPr>
            </w:pPr>
            <w:r>
              <w:rPr>
                <w:rFonts w:hint="eastAsia" w:ascii="宋体" w:hAnsi="宋体" w:cs="宋体"/>
                <w:b/>
                <w:color w:val="000000" w:themeColor="text1"/>
                <w:kern w:val="0"/>
                <w:szCs w:val="21"/>
              </w:rPr>
              <w:t>数量</w:t>
            </w:r>
          </w:p>
        </w:tc>
      </w:tr>
      <w:tr>
        <w:tblPrEx>
          <w:tblLayout w:type="fixed"/>
          <w:tblCellMar>
            <w:top w:w="15" w:type="dxa"/>
            <w:left w:w="15" w:type="dxa"/>
            <w:bottom w:w="15" w:type="dxa"/>
            <w:right w:w="15" w:type="dxa"/>
          </w:tblCellMar>
        </w:tblPrEx>
        <w:trPr>
          <w:trHeight w:val="1888"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弯板传感器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单向两车道</w:t>
            </w:r>
            <w:r>
              <w:rPr>
                <w:rFonts w:hint="eastAsia" w:ascii="宋体" w:hAnsi="宋体" w:cs="宋体"/>
                <w:color w:val="000000" w:themeColor="text1"/>
                <w:kern w:val="0"/>
                <w:szCs w:val="21"/>
              </w:rPr>
              <w:t>，路宽12米，路面全覆盖</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全密封结构</w:t>
            </w:r>
            <w:r>
              <w:rPr>
                <w:rFonts w:hint="eastAsia" w:ascii="宋体" w:hAnsi="宋体" w:cs="宋体"/>
                <w:color w:val="000000" w:themeColor="text1"/>
                <w:kern w:val="0"/>
                <w:szCs w:val="21"/>
              </w:rPr>
              <w:t>；</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额定载重30吨/轴</w:t>
            </w:r>
            <w:r>
              <w:rPr>
                <w:rFonts w:hint="eastAsia" w:ascii="宋体" w:hAnsi="宋体" w:cs="宋体"/>
                <w:color w:val="000000" w:themeColor="text1"/>
                <w:kern w:val="0"/>
                <w:szCs w:val="21"/>
              </w:rPr>
              <w:t>；</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采用两块传感器镶嵌安装在每个车道上，完成对车辆轴载荷的检测</w:t>
            </w:r>
            <w:r>
              <w:rPr>
                <w:rFonts w:hint="eastAsia" w:ascii="宋体" w:hAnsi="宋体" w:cs="宋体"/>
                <w:color w:val="000000" w:themeColor="text1"/>
                <w:kern w:val="0"/>
                <w:szCs w:val="21"/>
              </w:rPr>
              <w:t>；</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防护等级IP68</w:t>
            </w:r>
            <w:r>
              <w:rPr>
                <w:rFonts w:hint="eastAsia" w:ascii="宋体" w:hAnsi="宋体" w:cs="宋体"/>
                <w:color w:val="000000" w:themeColor="text1"/>
                <w:kern w:val="0"/>
                <w:szCs w:val="21"/>
              </w:rPr>
              <w:t>；</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绝缘等级＞5000MΩ（50 VDC）；</w:t>
            </w:r>
          </w:p>
          <w:p>
            <w:pPr>
              <w:widowControl/>
              <w:jc w:val="left"/>
              <w:textAlignment w:val="center"/>
              <w:rPr>
                <w:rFonts w:ascii="宋体" w:hAnsi="宋体" w:cs="宋体"/>
                <w:color w:val="000000" w:themeColor="text1"/>
                <w:kern w:val="0"/>
                <w:szCs w:val="21"/>
              </w:rPr>
            </w:pPr>
            <w:r>
              <w:rPr>
                <w:rFonts w:hint="eastAsia" w:ascii="宋体" w:hAnsi="宋体" w:cs="宋体"/>
                <w:color w:val="000000"/>
                <w:kern w:val="0"/>
                <w:sz w:val="22"/>
                <w:szCs w:val="22"/>
              </w:rPr>
              <w:t>安全过载能力≥200%</w:t>
            </w:r>
            <w:r>
              <w:rPr>
                <w:rFonts w:hint="eastAsia" w:ascii="宋体" w:hAnsi="宋体" w:cs="宋体"/>
                <w:color w:val="000000" w:themeColor="text1"/>
                <w:kern w:val="0"/>
                <w:szCs w:val="21"/>
              </w:rPr>
              <w:t>；</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极限过载能力300%；</w:t>
            </w:r>
          </w:p>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使用寿命：10年；</w:t>
            </w:r>
          </w:p>
          <w:p>
            <w:pPr>
              <w:widowControl/>
              <w:jc w:val="left"/>
              <w:textAlignment w:val="center"/>
              <w:rPr>
                <w:rFonts w:ascii="宋体" w:hAnsi="宋体" w:cs="宋体"/>
                <w:color w:val="000000" w:themeColor="text1"/>
                <w:szCs w:val="21"/>
              </w:rPr>
            </w:pPr>
            <w:r>
              <w:rPr>
                <w:rFonts w:hint="eastAsia" w:ascii="宋体" w:hAnsi="宋体" w:cs="宋体"/>
                <w:color w:val="000000"/>
                <w:kern w:val="0"/>
                <w:sz w:val="22"/>
                <w:szCs w:val="22"/>
              </w:rPr>
              <w:t>工作环境温度-45℃至+80℃</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w:t>
            </w:r>
          </w:p>
        </w:tc>
      </w:tr>
      <w:tr>
        <w:tblPrEx>
          <w:tblLayout w:type="fixed"/>
          <w:tblCellMar>
            <w:top w:w="15" w:type="dxa"/>
            <w:left w:w="15" w:type="dxa"/>
            <w:bottom w:w="15" w:type="dxa"/>
            <w:right w:w="15" w:type="dxa"/>
          </w:tblCellMar>
        </w:tblPrEx>
        <w:trPr>
          <w:trHeight w:val="1548"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感应线圈</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绝缘体： FEP；</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额定温度：-55℃～200℃  ；</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导体 ：镀锡铜线 ；</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性能 ：耐磨、防腐蚀 ；</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尺寸：适用于普通车道和紧急车道；</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导线规格：1.5mm2铜质多股导线；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线圈安装方式：埋入路面下，环氧树脂灌封；</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线圈电感量：20μH～1500μH；</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路面切割环氧树脂固封。</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动态称重控制器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在不停车超限检测系统中，其高精度动态称重控制器是整个系统的中心控制装置，主要负责处理称重传感器和环形线圈传送来的信息，经过分析处理形成车辆的载荷信息，并与系统设定的载荷限值比较，来确定车辆是否超重，该信息同时上传到工控机，工控机将车牌号码及相应车辆引导信息送往可变情报板子系统进行显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动态称重控制器包括AC/DC电源转换器、多通道并行数据采集系统、数据存储系统、数据处理系统以及防电涌、防雷和防电磁辐射的装置。整个高速称重仪安装于一个钢制机箱中，机箱防护等级为IP65,全部符合电磁辐射标准要求,所有电缆接入处都采用了防水、防尘措施。此外，动态称重控制器还具有工业级操作显示液晶屏，除了用于各车道称重数据、车辆信息及道路交通等参数的即时显示外，还可用于仪表参数标定、系统参数的本地设定等，无需键盘、鼠标等辅助工具，使用方便，操作简单；同时在路边数据采集与处理机柜中尚含有备用电源、防雷及防静电设备以及网络接口，远传时也可以采用光电转换模块使用光纤进行远距离传输。</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技术指标</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适用速度范围：0～200km/h；</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数据存储空间：不小于1M Byte；</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历史过车记录：20000辆；</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工作温度：-45℃～ +85℃；</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相对湿度：0～95%RH；</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工作电压：AC 110 ～ 220V；</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系统采用模块化的仪表式称重数据处理技术，系统无须工控机即可独立完成信息的采集、处理、显示、传输、检测、校准等功能，可摆脱微机独立实现单机检测。</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通信接口：标准的RS-232C/485和CAN总线；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通信速率：不低于9600bps；</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5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车辆检测器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尺寸：适用于普通车道和紧急车道；</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导线规格：1.5mm2铜质多股导线；</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线圈安装方式：埋入路面下，环氧树脂灌封；</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线圈电感量：20μH～1500μH；</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速度检测范围：1～120km/h；</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电缆长度：50m(可扩展到150m)；</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频率范围：20～200 KHz。</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工作电压：10～25VDC；</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指 示 器：LED 指示线圈处于检测状态或是故障状态；</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工作频率：四级可调灵敏度：8级可调；I/O反应时间：2.5毫秒；</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线圈防护：变压器隔离，齐纳二极管，气体浪涌保护器；连 接 器：直链19PIN；</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尺寸：160mmX100mm；工作温度：-40℃～+85℃湿度范围：0～99%；为了获得电平信号输出（I/O），需要将外部单独直流供电电源（如+5V）接于光藕直流电源的正与地。光耦直流电源的地与所要连接设备的地连接，CH1OUT,CH2OUT,CH3OUT,CH4OUT 与设备的I/O口连接，即可获得所需的电平输出。如果光藕直流供电电源为+5V，则输出的电平为标准TTL电平。</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只</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控制机柜</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按照现场实际需求定制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含安装附件、接线附件等</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6</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结构胶</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弯板传感器专用胶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组</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8</w:t>
            </w:r>
          </w:p>
        </w:tc>
      </w:tr>
      <w:tr>
        <w:tblPrEx>
          <w:tblLayout w:type="fixed"/>
          <w:tblCellMar>
            <w:top w:w="15" w:type="dxa"/>
            <w:left w:w="15" w:type="dxa"/>
            <w:bottom w:w="15" w:type="dxa"/>
            <w:right w:w="15" w:type="dxa"/>
          </w:tblCellMar>
        </w:tblPrEx>
        <w:trPr>
          <w:trHeight w:val="1548"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7</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kern w:val="0"/>
                <w:sz w:val="20"/>
              </w:rPr>
              <w:t>车牌识别摄像机</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1、彩色CCD，1/1.8"</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2、2个100/1000M以太网口;1个BNC接口;4个RS232，2个RS485，1个SD卡插槽；1个5V电源输出；8路I/O输入；1路报警输入接口，2路报警输出接口；1个外同步输入接口；7个闪光灯输出接口；1个reset接口；2路USB接口</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3、图片分辨率2048*1536，1600×1200，1280*720</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4、★分辨力≥1400TVL</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5、彩色：≤0.0008lx（AGC ON、RJ45输出，应能分辨反射式视频矩阵测试卡中彩色色块）</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6、黑白：≤0.0001lx（AGC ON、RJ45输出，应能分辨反射式视频分辨率测试卡中圆形轮廓）</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7、支持CVBS图像输出接口（BNC），可实时查看图像</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8、★支持图像网络传输功能，支持360浏览器、IE浏览器、客户端软件、谷歌浏览器、火狐浏览器、搜狗浏览器、百度浏览器等远程监看方式，可实时监控图像的同时输出抓拍到的车辆信息</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9、★图片上可叠加OSD黑边，OSD像素0~1024Pixel可调</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10、支持四码流输出，可同时输出主码流、辅码流、辅码流1和辅码流2四种码流，辅码流、辅码流1和辅码流2的分辨率可设</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11、图像延时≤200ms</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12、抓拍延时≤110ms</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13、支持32kbps~64Mbps视频码率可调</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14、支持抓图功能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 xml:space="preserve">15、★支持识别16种车型，包括：大客车、中型客车、大货车、中型货车、小货车、面包车、三厢轿车、两厢轿车、微型轿车、SUV-MPV、槽罐车、皮卡车、拖拉机、挂车、吊车、洒水车，白天识别率≥ 95% ，夜间≥ 95% </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16、★支持车辆捕获功能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白天准确率≥99.9%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晚上捕获率≥99.9%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17、★支持非机动车、行人捕获功能，捕获率白天、晚上不低于99%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18、★支持车牌识功能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 xml:space="preserve">白天准确率≥99.9% </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晚上准确率≥99.9%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19、★支持逆行抓拍功能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白天准确率≥99%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晚上准确率≥99%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20、★支持13种车身颜色识别，包括：黑、白、灰、红、绿、蓝、黄、粉、紫、棕、青、金、橙，</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白天准确率≥97%</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晚上准确率≥97%</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21、★支持系安全带识别功能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白天准确率≥98%</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晚上准确率≥98%</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22、支持遮阳板识别功能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23、★开车抽烟识别功能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24、★支持驾驶室人脸抠图功能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主驾驶人脸抠图概率≥98%</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副驾驶人脸抠图概率≥95%</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25、★支持人脸特征识别功能,可识别主驾驶员男女功能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白天准确率≥95%</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晚上准确率≥95%</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26、★支持不按规定使用车灯功能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27、支持自动区分机动车（不含摩托车）、二轮车（摩托车、自行车，电动二轮车）、三轮车和行人，类型区分准确率不低于90%</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28、支持2100种车辆子品牌识别功能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29、支持异常车牌（遮挡、污损）识别功能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30、支持LED诱导信息发布功能</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31、★支持250种车标识别</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白天准确率≥99%</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夜间准确率≥99%                                                                                  32、★支持SSD存储器，容量支持512G以上</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33、★内置陀螺仪，可实现姿态异常检测，并报警输出                                                                                                                        35、★支持红色信号灯昼夜色彩校正功能，可对设定区域内的红色信号灯进行显示色彩校正                36、★支持对接入的车辆检测设备进行故障检测，并可显示该设备的故障信息，故障检测延迟&lt;45秒        37、★支持手机APP访问功能                                                                     38、★支持对路口右转行驶车辆不礼让行人行为进行检测抓拍                                               39、★支持对路口左转行驶车辆不礼让直行车辆行为进行检测抓拍                                    40、★支持红灯时路口滞留达到预设时间的车辆进行检测抓拍                                         须提供公安部产品检测检验报告并加盖生产厂家公章，其中参数中带★的选项必须在公安部产品检测检验报告中体现，不提供者视为不能实质性的响应招标文件。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5</w:t>
            </w:r>
          </w:p>
        </w:tc>
      </w:tr>
      <w:tr>
        <w:tblPrEx>
          <w:tblLayout w:type="fixed"/>
          <w:tblCellMar>
            <w:top w:w="15" w:type="dxa"/>
            <w:left w:w="15" w:type="dxa"/>
            <w:bottom w:w="15" w:type="dxa"/>
            <w:right w:w="15" w:type="dxa"/>
          </w:tblCellMar>
        </w:tblPrEx>
        <w:trPr>
          <w:trHeight w:val="700"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8</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一体化智能球机</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支持输出图像失真小于等于4.2%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支持不少于64条巡航路径，每条巡航可以添加不少于32个预置点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支持在监视画面上设置至少32块遮盖区域,可设置多边形、不同的颜色，每个场景最多支持8块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球机应具备本地存储功能，支持SD卡热插拔，最大为256GB ，设备应支持不小于30倍光学变倍</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★在网络直接环境下，只输出主码流、分辨率设置为1920*1080、帧率设置为30fps、码率2M时，网络延时≤90 ms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★支持最低可用照度彩色0.01Lux，黑白0.001Lux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★图像质量评分应不小于4.2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具备较好的环境适应性，工作温度范围可达-50℃-80℃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支持IP67，TVS 10000V防雷、防浪涌、防突波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设备泄露电流应不大于0.1mA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设备垂直旋转范围应达到 -35°~90°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可将码率设置为8Kbps~40Mbps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具有音频异常侦测功能，启动声强突变之后，可检测到异常音频，触发后联动聚焦、报警上传、上传FTP、发送邮件、联动录像、辅助输出等报警触发方式，并可设置检测的灵敏度及突变阈值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★支持噪声过滤设置，并有麦克风音量和扬声器音量设置选项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视频编码方式支持H.265、H.264、MPEG4、MJPEG；并可将H.264格式设置为Baseline/Main/High Profile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设备应具备在静止场景下，相同图像质量时，设备开启smart264功能后，与不开启此功能相比，码流节约1/3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支持全景预览，在全景预览图中进行快速定位，也可通过图形标明预置点，直观显示巡航轨迹。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支持客流统计、查询功能，准确率能达到99%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支持在不同场景下设置热度图、人脸识别、通用行为分析、人数统计智能方案并进行调用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★支持道路信息设置，最大设置8个路口信息，每个路口最多设置8个路名，道路信息可随球机转动变化显示</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 xml:space="preserve">支持可视域信息上传功能，即可响应平台下发的指令，上报设备视场角、可视距离、安装位置、镜头指向方位，其中设备视场角、可视距离能够随着倍率变化。  </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★球机支持平台或Web/nvr设置GPS和方位信息，并关联当前云台水平角度</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支持对设定区域内的运动目标在设定时间内持续跟踪，可自动调节变倍，可手动切换跟踪目标</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须提供公安部产品检测检验报告并加盖生产厂家公章，其中参数中带★的选项必须在公安部产品检测检验报告中体现，不提供者视为不能实质性的响应招标文件。</w:t>
            </w:r>
          </w:p>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为保证整体系统功能的完整性，摄像机、镜头、终端管理设备、LED频闪灯、爆闪灯、存储”设备必须使用统一品牌。</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w:t>
            </w:r>
          </w:p>
        </w:tc>
      </w:tr>
      <w:tr>
        <w:tblPrEx>
          <w:tblLayout w:type="fixed"/>
          <w:tblCellMar>
            <w:top w:w="15" w:type="dxa"/>
            <w:left w:w="15" w:type="dxa"/>
            <w:bottom w:w="15" w:type="dxa"/>
            <w:right w:w="15" w:type="dxa"/>
          </w:tblCellMar>
        </w:tblPrEx>
        <w:trPr>
          <w:trHeight w:val="2566"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9</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智能闪光灯</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1、20m峰值照度≤4000lx</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2、显色指数≥65Ra</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3、色温≥4000K</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4、回电时间100ms，点亮时间0.8ms</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5、在AC220V±44V、50Hz±2Hz的电源条件下，基准轴上光照度的变化幅度应小于等于额定电压下的15%</w:t>
            </w:r>
          </w:p>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为保证整体系统功能的完整性，摄像机、镜头、终端管理设备、LED频闪灯、爆闪灯、存储”设备必须使用统一品牌。</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w:t>
            </w:r>
          </w:p>
        </w:tc>
      </w:tr>
      <w:tr>
        <w:tblPrEx>
          <w:tblLayout w:type="fixed"/>
          <w:tblCellMar>
            <w:top w:w="15" w:type="dxa"/>
            <w:left w:w="15" w:type="dxa"/>
            <w:bottom w:w="15" w:type="dxa"/>
            <w:right w:w="15" w:type="dxa"/>
          </w:tblCellMar>
        </w:tblPrEx>
        <w:trPr>
          <w:trHeight w:val="2736"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10</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智能补光灯</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1、集成数字式照度传感器，具备自动光感功能；</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2、支持多级环境亮度可选</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3、平均功耗≤23W</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4、★频闪亮度等级30级可调；</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5、★在距补光灯20米处，亮度等级20时光斑照度不得超过40lx</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6、支持通过摄像机远程控制亮度等级</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7、★支持通过摄像机远程控制补光灯点亮/熄灭</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8、支持通过RS485控制频率、亮度等</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9、★支持频闪级联功能</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10、支持远程显示补光灯状态功能</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11、★频闪信号输出至LED灯板响应的时间≤45us</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12、★频闪频率：20、25、30、50、60、75、90、100、120Hz 9档可选</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13、★频闪持续时间：1、2、3ms可选</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14、★频闪延时：0、1、2、3、4ms可选</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15、★色温范围6000k~6700k</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16、★工作温度-40℃~80℃</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17、可根据环境亮度变化自动点亮或熄灭，环境亮度阀值10档可调</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18、IP67</w:t>
            </w:r>
          </w:p>
          <w:p>
            <w:pPr>
              <w:widowControl/>
              <w:jc w:val="left"/>
              <w:textAlignment w:val="center"/>
              <w:rPr>
                <w:rFonts w:ascii="宋体" w:hAnsi="宋体" w:cs="宋体"/>
                <w:color w:val="000000" w:themeColor="text1"/>
                <w:szCs w:val="21"/>
              </w:rPr>
            </w:pPr>
            <w:r>
              <w:rPr>
                <w:rFonts w:hint="eastAsia" w:ascii="宋体" w:hAnsi="宋体" w:cs="宋体"/>
                <w:color w:val="000000" w:themeColor="text1"/>
                <w:szCs w:val="21"/>
              </w:rPr>
              <w:t>须提供公安部产品检测检验报告并加盖生产厂家公章，其中参数中带★的选项必须在公安部产品检测检验报告中体现，不提供者视为不能实质性的响应招标文件。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w:t>
            </w:r>
          </w:p>
        </w:tc>
      </w:tr>
      <w:tr>
        <w:tblPrEx>
          <w:tblLayout w:type="fixed"/>
          <w:tblCellMar>
            <w:top w:w="15" w:type="dxa"/>
            <w:left w:w="15" w:type="dxa"/>
            <w:bottom w:w="15" w:type="dxa"/>
            <w:right w:w="15" w:type="dxa"/>
          </w:tblCellMar>
        </w:tblPrEx>
        <w:trPr>
          <w:trHeight w:val="870"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车牌识别及L立杆</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抗风速度：40m/s；</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抵抗强度：215MPa;</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承受重量：1000Kg;</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跨度：根据现场情况定制；</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净空高度：6m</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w:t>
            </w:r>
          </w:p>
        </w:tc>
      </w:tr>
      <w:tr>
        <w:tblPrEx>
          <w:tblLayout w:type="fixed"/>
          <w:tblCellMar>
            <w:top w:w="15" w:type="dxa"/>
            <w:left w:w="15" w:type="dxa"/>
            <w:bottom w:w="15" w:type="dxa"/>
            <w:right w:w="15" w:type="dxa"/>
          </w:tblCellMar>
        </w:tblPrEx>
        <w:trPr>
          <w:trHeight w:val="700"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可变情报板</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显示尺寸：2000mm*4000mm，含屏幕控制器；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可变信息发布屏可进行全屏幕编辑。</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微处理器内应装有一、二级简体字库，具有宋、楷、黑、仿宋、隶书五种以上字体，其字体、粗细、汉字间隔、汉字在屏上的位置均可调。文字、图形均应具备闪烁、移动功能，闪烁、移动的频率和速度可调；</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具有一个RJ45接口、一个RS232/485接口；</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工作电源采用n＋1高可靠容错的开关电源系统；</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防护等级：IP65；</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环境温度： -10℃～+65℃；</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相对湿度： 小于95%无冷凝；</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电源AC380V±15%，50Hz±2Hz。</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13</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F杆</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热镀锌，高6m,含基础、地脚螺栓、法兰盘、避雷针</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379"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14</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工控机</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CPU：英特尔  酷睿 2双核；</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内存：≥4G DDR3；</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硬盘：≥4T SATA II；</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显卡：独立显卡；</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鼠标：USB光电鼠标，键盘：标准键盘；</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网卡：100/1000Mbps 自适应；</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显示器：22英寸液晶显示器。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含数据接收软件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5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15</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服务器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2U机架式服务器；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CPU：≥ 一颗Intel Xeon E5 CPU；</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内存：≥8G</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16</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20U标准机柜</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42U标准服务器机柜</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040"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17</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硬盘录像机</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1.最大接入带宽640Mbps、最大转发带宽320Mbps;支持H. 265、H. 264编码格式的视频接入；主码流分辨率：1280X720 (25帧/秒）、1280X960 (25 帧/秒）、1920X 1080 (25 帧/秒）、3840X2160 (30 帧/秒）；</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2.支持秒级回放，可记录并回放设备断网前一秒的录像；</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3.支持即时回放：预览界面下，单通道回放刚过去的5-60分钟的录像；</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4.支持切片回放，可将录像等分成4/8/16路同时回放；</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5.支持外部文件回放：可直接播放存储在移动存储设备中的录像文件；</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6.支持录像回放剪辑功能；支持16路同步回放；</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7.支持4路分辨率为3840X2160、帧率为30fps或16路分辨率为1920X 1080、帧率为30fps的视频流解码：支持4路分辨率为3840X2160、帧率为25fps或16路分辨率为1080P、帧率为30fps的录像倒放或回放；</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8.支持 1/2、1/4、1/8、2、4、8、16、32、 64、128、256倍速回放录像设罝选项；</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9.支持通过浏览器或客户端，以CSV文档的形式，导入导出远程设备配置。CSV文档允许用户编辑；</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10.支持移动客户端通过互联网扫描二维码登陆设备；</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11.支持将多台NVR配置为集群管理方式，当主机发生故障时，备机可替换故障主机继续录像，故障恢复后，备机可将存储的录像回传至故障主机；</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12.在预览和回放模式下，支持对接入的视频按照设置的拼接方式进行后矫正。鱼眼视频的分辨率最大支持4000X3000；</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13.不小于8盘位硬盘接入，可自动识别硬盘工作信息，支持接入单块硬盘的最大容量为8T；</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14.支持盘组管理，可创建多个数据存储空间不同的盘组，对不同通道分配不同盘组存储并可配置为“只读”、“可读写”模式；</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15.支持对硬盘进行S.M.A.R.T检测、坏道 检测、并可査看相关检测结果；</w:t>
            </w:r>
          </w:p>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16.支持 RAIDO、RAID1、RAID5、RAID6、 RAID10、RAID50、RAID60,可实现多个硬盘读写同步，支持硬盘热插拔；</w:t>
            </w:r>
          </w:p>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17.通过预览界面软件控制按键，可直接进行图像参数、云台控制、声音控制、电子放大、 主子码流切换等操作；支持预览轮巡功能，轮巡时间间隔可设；</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18</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存储硬盘</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4000G-64M缓存-3.5英寸-SATA3.0接口</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5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19</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工业以太网交换机</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千兆以太网交换机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传输速率：10/100M/1000MBPS</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端口描述：24个10/100M/1000MBPS自适应以太网端口；</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20</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交换机</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千兆以太网交换机</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传输速率：10/100M/1000MBPS</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端口描述：24个10/100M/1000MBPS自适应以太网端口；</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2397"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路由器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企业级路由器</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传输速率：10/100M/1000MBPS</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广域网接口 ：2个</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局域网接口 ：4个</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其它端口  1个USB2.0端口</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1个串行辅助/控制台端口</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防火墙 ：内置防火墙</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xml:space="preserve">Qos支持 </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 xml:space="preserve">VPN支持  </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网络安全 ：ACL，防火墙，802.1x认证，AAA认证，RADIUS认证，HWTACACS认证，广播风暴抑制，ARP安全，ICMP反攻击，URPF，CPCAR，黑名单，攻击源追踪，PKI</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网络管理 ：升级管理，设备管理，Web网管，GTL，SNMP（v1/v2c/v3），RMON，NTP，CWMP，Auto-Config，U盘开局，NetConf，命令行。</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040"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防雷保护器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网络信号、电源防护；</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电源保护：MAX260V(适用于12V-220V)；</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电压：470V；</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最大放电电流：10KA；</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响应时间：小于10ns；</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传输速率：10-100MHZ</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23</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空开</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单匹</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个</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24</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UPS电源</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UPS类型：在线式；额定功率：3KW；支持1小时；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color w:val="000000" w:themeColor="text1"/>
                <w:szCs w:val="21"/>
              </w:rPr>
            </w:pPr>
            <w:r>
              <w:rPr>
                <w:rFonts w:hint="eastAsia" w:ascii="宋体" w:hAnsi="宋体" w:cs="宋体"/>
                <w:b/>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25</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电力电缆</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铜芯护套电缆</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米</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600</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26</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接地电缆</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BV1*10mm2</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米</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100</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27</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网线</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超5类网线</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米</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500</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28</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4芯单模光纤</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4芯单模</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米</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600</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29</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碳素波纹管</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联塑</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米</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600</w:t>
            </w:r>
          </w:p>
        </w:tc>
      </w:tr>
      <w:tr>
        <w:tblPrEx>
          <w:tblLayout w:type="fixed"/>
          <w:tblCellMar>
            <w:top w:w="15" w:type="dxa"/>
            <w:left w:w="15" w:type="dxa"/>
            <w:bottom w:w="15" w:type="dxa"/>
            <w:right w:w="15" w:type="dxa"/>
          </w:tblCellMar>
        </w:tblPrEx>
        <w:trPr>
          <w:trHeight w:val="5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30</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200米警示告知标识牌</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F型镀锌八棱杆和称重与限速告知标识牌，</w:t>
            </w:r>
            <w:r>
              <w:rPr>
                <w:rFonts w:hint="eastAsia" w:ascii="宋体" w:hAnsi="宋体" w:cs="宋体"/>
                <w:color w:val="000000" w:themeColor="text1"/>
                <w:kern w:val="0"/>
                <w:szCs w:val="21"/>
              </w:rPr>
              <w:br w:type="textWrapping"/>
            </w:r>
            <w:r>
              <w:rPr>
                <w:rFonts w:hint="eastAsia" w:ascii="宋体" w:hAnsi="宋体" w:cs="宋体"/>
                <w:color w:val="000000" w:themeColor="text1"/>
                <w:kern w:val="0"/>
                <w:szCs w:val="21"/>
              </w:rPr>
              <w:t>黄色，反光膜3米*4米</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卸货场提示牌</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按照实际情况定制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5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前端数据采集软件软件</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专配</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33</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管理平台软件</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按照实际需求定制开发含软件二次开发费用</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34</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操作系统</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Windows操作系统</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35</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数据库软件</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Microsoft SQL Server 数据库软件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36</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rPr>
              <w:t>拼接大屏</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知名厂家产品</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6</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37</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rPr>
              <w:t>电视墙</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按照实际情况定制</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38</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rPr>
              <w:t>操作台</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按照实际情况定制（含椅子）</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台</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39</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themeColor="text1"/>
                <w:szCs w:val="21"/>
              </w:rPr>
            </w:pPr>
            <w:r>
              <w:rPr>
                <w:rFonts w:hint="eastAsia" w:ascii="宋体" w:hAnsi="宋体" w:cs="宋体"/>
                <w:color w:val="000000" w:themeColor="text1"/>
                <w:kern w:val="0"/>
                <w:szCs w:val="21"/>
              </w:rPr>
              <w:t>摇杆键盘</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360度操作</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Cs w:val="21"/>
              </w:rPr>
            </w:pPr>
            <w:r>
              <w:rPr>
                <w:rFonts w:hint="eastAsia" w:ascii="宋体" w:hAnsi="宋体" w:cs="宋体"/>
                <w:color w:val="000000" w:themeColor="text1"/>
                <w:kern w:val="0"/>
                <w:szCs w:val="21"/>
              </w:rPr>
              <w:t>40</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themeColor="text1"/>
                <w:kern w:val="0"/>
                <w:szCs w:val="21"/>
              </w:rPr>
            </w:pPr>
            <w:r>
              <w:rPr>
                <w:rFonts w:hint="eastAsia" w:ascii="宋体" w:hAnsi="宋体" w:cs="宋体"/>
                <w:color w:val="000000" w:themeColor="text1"/>
                <w:kern w:val="0"/>
                <w:szCs w:val="21"/>
              </w:rPr>
              <w:t>高清解码器</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kern w:val="0"/>
                <w:szCs w:val="21"/>
              </w:rPr>
            </w:pPr>
            <w:r>
              <w:rPr>
                <w:rFonts w:hint="eastAsia" w:ascii="宋体" w:hAnsi="宋体" w:cs="宋体"/>
                <w:color w:val="000000" w:themeColor="text1"/>
                <w:kern w:val="0"/>
                <w:szCs w:val="21"/>
              </w:rPr>
              <w:t>知名厂家产品</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Cs w:val="21"/>
                <w:highlight w:val="yellow"/>
              </w:rPr>
            </w:pP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Cs w:val="21"/>
                <w:highlight w:val="yellow"/>
              </w:rPr>
            </w:pP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40</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基础施工图</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Cs w:val="21"/>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技术手册</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Cs w:val="21"/>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册</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产品出厂合格证</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Cs w:val="21"/>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份</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43</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保修卡</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Cs w:val="21"/>
              </w:rPr>
            </w:pP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套</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44</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安装调试</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设备安装调试测试集成</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45</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检定费</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设备验收检定合格后的取得计量检定证书</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19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46</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安装辅料</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53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47</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路面硬化及基础施工</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szCs w:val="21"/>
              </w:rPr>
              <w:t>48</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L杆基础施工</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3</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49</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F型架基础施工</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50</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告知牌基础施工</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2</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51</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电气箱基础施工</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r>
        <w:tblPrEx>
          <w:tblLayout w:type="fixed"/>
          <w:tblCellMar>
            <w:top w:w="15" w:type="dxa"/>
            <w:left w:w="15" w:type="dxa"/>
            <w:bottom w:w="15" w:type="dxa"/>
            <w:right w:w="15" w:type="dxa"/>
          </w:tblCellMar>
        </w:tblPrEx>
        <w:trPr>
          <w:trHeight w:val="361" w:hRule="atLeast"/>
        </w:trPr>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52</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设备运行维护</w:t>
            </w:r>
          </w:p>
        </w:tc>
        <w:tc>
          <w:tcPr>
            <w:tcW w:w="9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themeColor="text1"/>
                <w:szCs w:val="21"/>
              </w:rPr>
            </w:pPr>
            <w:r>
              <w:rPr>
                <w:rFonts w:hint="eastAsia" w:ascii="宋体" w:hAnsi="宋体" w:cs="宋体"/>
                <w:color w:val="000000" w:themeColor="text1"/>
                <w:kern w:val="0"/>
                <w:szCs w:val="21"/>
              </w:rPr>
              <w:t>根据现场实际情况计算</w:t>
            </w:r>
          </w:p>
        </w:tc>
        <w:tc>
          <w:tcPr>
            <w:tcW w:w="8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项</w:t>
            </w:r>
          </w:p>
        </w:tc>
        <w:tc>
          <w:tcPr>
            <w:tcW w:w="10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Cs w:val="21"/>
              </w:rPr>
            </w:pPr>
            <w:r>
              <w:rPr>
                <w:rFonts w:hint="eastAsia" w:ascii="宋体" w:hAnsi="宋体" w:cs="宋体"/>
                <w:color w:val="000000" w:themeColor="text1"/>
                <w:kern w:val="0"/>
                <w:szCs w:val="21"/>
              </w:rPr>
              <w:t>1</w:t>
            </w:r>
          </w:p>
        </w:tc>
      </w:tr>
    </w:tbl>
    <w:p/>
    <w:p>
      <w:pPr>
        <w:sectPr>
          <w:headerReference r:id="rId5" w:type="default"/>
          <w:pgSz w:w="16838" w:h="11906" w:orient="landscape"/>
          <w:pgMar w:top="1418" w:right="1418" w:bottom="1418" w:left="1418" w:header="850" w:footer="992" w:gutter="0"/>
          <w:pgNumType w:fmt="numberInDash"/>
          <w:cols w:space="720" w:num="1"/>
          <w:docGrid w:type="linesAndChars" w:linePitch="318" w:charSpace="0"/>
        </w:sectPr>
      </w:pPr>
      <w:r>
        <w:rPr>
          <w:rFonts w:hint="eastAsia"/>
        </w:rPr>
        <w:t>注： 动态称重系统 产品为本次采购的核心产品，技术参数要求视频监控部分带★的选项需提供针对本项目的公安部产品检测检验报告，否则视为不满足招标文件技术要求。</w:t>
      </w:r>
    </w:p>
    <w:p>
      <w:pPr>
        <w:pStyle w:val="3"/>
        <w:rPr>
          <w:color w:val="000000" w:themeColor="text1"/>
          <w:szCs w:val="32"/>
        </w:rPr>
      </w:pPr>
      <w:bookmarkStart w:id="314" w:name="_Toc509393058"/>
      <w:bookmarkStart w:id="315" w:name="_Toc509321740"/>
      <w:bookmarkStart w:id="316" w:name="_Toc504493819"/>
      <w:bookmarkStart w:id="317" w:name="_Toc505243177"/>
      <w:r>
        <w:rPr>
          <w:rFonts w:hint="eastAsia"/>
          <w:color w:val="000000" w:themeColor="text1"/>
          <w:szCs w:val="32"/>
        </w:rPr>
        <w:t>第五章合同</w:t>
      </w:r>
      <w:bookmarkEnd w:id="306"/>
      <w:bookmarkEnd w:id="307"/>
      <w:bookmarkEnd w:id="308"/>
      <w:bookmarkEnd w:id="309"/>
      <w:bookmarkEnd w:id="310"/>
      <w:bookmarkEnd w:id="311"/>
      <w:r>
        <w:rPr>
          <w:rFonts w:hint="eastAsia"/>
          <w:color w:val="000000" w:themeColor="text1"/>
          <w:szCs w:val="32"/>
        </w:rPr>
        <w:t>格式</w:t>
      </w:r>
      <w:bookmarkEnd w:id="312"/>
      <w:bookmarkEnd w:id="313"/>
      <w:bookmarkEnd w:id="314"/>
      <w:bookmarkEnd w:id="315"/>
      <w:bookmarkEnd w:id="316"/>
      <w:bookmarkEnd w:id="317"/>
    </w:p>
    <w:p>
      <w:pPr>
        <w:jc w:val="center"/>
        <w:rPr>
          <w:rFonts w:ascii="宋体" w:cs="宋体"/>
          <w:b/>
          <w:bCs/>
          <w:color w:val="000000" w:themeColor="text1"/>
          <w:sz w:val="24"/>
        </w:rPr>
      </w:pPr>
      <w:r>
        <w:rPr>
          <w:rFonts w:hint="eastAsia" w:ascii="宋体" w:hAnsi="宋体" w:cs="宋体"/>
          <w:b/>
          <w:bCs/>
          <w:color w:val="000000" w:themeColor="text1"/>
          <w:sz w:val="24"/>
        </w:rPr>
        <w:t>（合同格式仅供参考）</w:t>
      </w:r>
    </w:p>
    <w:p>
      <w:pPr>
        <w:widowControl/>
        <w:shd w:val="clear" w:color="auto" w:fill="FFFFFF"/>
        <w:spacing w:line="360" w:lineRule="auto"/>
        <w:rPr>
          <w:rFonts w:ascii="宋体" w:cs="宋体"/>
          <w:b/>
          <w:bCs/>
          <w:color w:val="000000" w:themeColor="text1"/>
          <w:szCs w:val="21"/>
        </w:rPr>
      </w:pPr>
      <w:r>
        <w:rPr>
          <w:rFonts w:hint="eastAsia" w:ascii="宋体" w:hAnsi="宋体" w:cs="宋体"/>
          <w:b/>
          <w:bCs/>
          <w:color w:val="000000" w:themeColor="text1"/>
          <w:szCs w:val="21"/>
        </w:rPr>
        <w:t>甲方：</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乙方：</w:t>
      </w:r>
    </w:p>
    <w:p>
      <w:pPr>
        <w:widowControl/>
        <w:shd w:val="clear" w:color="auto" w:fill="FFFFFF"/>
        <w:spacing w:line="360" w:lineRule="auto"/>
        <w:ind w:firstLine="315" w:firstLineChars="150"/>
        <w:rPr>
          <w:rFonts w:ascii="宋体" w:cs="宋体"/>
          <w:color w:val="000000" w:themeColor="text1"/>
          <w:szCs w:val="21"/>
        </w:rPr>
      </w:pPr>
      <w:r>
        <w:rPr>
          <w:rFonts w:hint="eastAsia" w:ascii="宋体" w:hAnsi="宋体" w:cs="宋体"/>
          <w:color w:val="000000" w:themeColor="text1"/>
          <w:szCs w:val="21"/>
          <w:u w:val="single"/>
        </w:rPr>
        <w:t>甲方名称</w:t>
      </w:r>
      <w:r>
        <w:rPr>
          <w:rFonts w:hint="eastAsia" w:ascii="宋体" w:hAnsi="宋体" w:cs="宋体"/>
          <w:color w:val="000000" w:themeColor="text1"/>
          <w:szCs w:val="21"/>
        </w:rPr>
        <w:t>根据的批复，组织对</w:t>
      </w:r>
      <w:r>
        <w:rPr>
          <w:rFonts w:hint="eastAsia" w:ascii="宋体" w:hAnsi="宋体" w:cs="宋体"/>
          <w:color w:val="000000" w:themeColor="text1"/>
          <w:szCs w:val="21"/>
          <w:u w:val="single"/>
        </w:rPr>
        <w:t>通许县交通运输局执法所非现场执法系统项目</w:t>
      </w:r>
      <w:r>
        <w:rPr>
          <w:rFonts w:hint="eastAsia" w:ascii="宋体" w:hAnsi="宋体" w:cs="宋体"/>
          <w:color w:val="000000" w:themeColor="text1"/>
          <w:szCs w:val="21"/>
        </w:rPr>
        <w:t>进行公开招标，采购编号（），于年月日通过公开招标，确定乙方为</w:t>
      </w:r>
      <w:r>
        <w:rPr>
          <w:rFonts w:hint="eastAsia" w:ascii="宋体" w:hAnsi="宋体" w:cs="宋体"/>
          <w:color w:val="000000" w:themeColor="text1"/>
          <w:szCs w:val="21"/>
          <w:u w:val="single"/>
        </w:rPr>
        <w:t>通许县交通运输局执法所非现场执法系统项目</w:t>
      </w:r>
      <w:r>
        <w:rPr>
          <w:rFonts w:hint="eastAsia" w:ascii="宋体" w:hAnsi="宋体" w:cs="宋体"/>
          <w:color w:val="000000" w:themeColor="text1"/>
          <w:szCs w:val="21"/>
        </w:rPr>
        <w:t>中标人。为了保护供需各方合法权益</w:t>
      </w:r>
      <w:r>
        <w:rPr>
          <w:rFonts w:ascii="宋体" w:cs="宋体"/>
          <w:color w:val="000000" w:themeColor="text1"/>
          <w:szCs w:val="21"/>
        </w:rPr>
        <w:t>,</w:t>
      </w:r>
      <w:r>
        <w:rPr>
          <w:rFonts w:hint="eastAsia" w:ascii="宋体" w:hAnsi="宋体" w:cs="宋体"/>
          <w:color w:val="000000" w:themeColor="text1"/>
          <w:szCs w:val="21"/>
        </w:rPr>
        <w:t>根据《中华人民共和国政府采购法》、《中华人民共和国合同法》等相关法律、法规的规定，并严格遵循政府采购项目采购文件的相关规定，经甲乙双方协商一致，订立本合同。</w:t>
      </w:r>
      <w:r>
        <w:rPr>
          <w:rFonts w:ascii="宋体" w:cs="宋体"/>
          <w:color w:val="000000" w:themeColor="text1"/>
          <w:szCs w:val="21"/>
        </w:rPr>
        <w:t> </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一、项目概况、合同金额</w:t>
      </w:r>
      <w:r>
        <w:rPr>
          <w:rFonts w:hint="eastAsia" w:ascii="宋体" w:hAnsi="宋体" w:cs="宋体"/>
          <w:color w:val="000000" w:themeColor="text1"/>
          <w:szCs w:val="21"/>
        </w:rPr>
        <w:t>（详见报价表，附后）</w:t>
      </w:r>
    </w:p>
    <w:p>
      <w:pPr>
        <w:widowControl/>
        <w:shd w:val="clear" w:color="auto" w:fill="FFFFFF"/>
        <w:spacing w:line="360" w:lineRule="auto"/>
        <w:ind w:left="567"/>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项目编号：。</w:t>
      </w:r>
    </w:p>
    <w:p>
      <w:pPr>
        <w:widowControl/>
        <w:shd w:val="clear" w:color="auto" w:fill="FFFFFF"/>
        <w:spacing w:line="360" w:lineRule="auto"/>
        <w:ind w:left="567"/>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项目名称：。</w:t>
      </w:r>
    </w:p>
    <w:p>
      <w:pPr>
        <w:widowControl/>
        <w:shd w:val="clear" w:color="auto" w:fill="FFFFFF"/>
        <w:spacing w:line="360" w:lineRule="auto"/>
        <w:ind w:left="567"/>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具体内容：（详见乙方报价表）</w:t>
      </w:r>
    </w:p>
    <w:p>
      <w:pPr>
        <w:widowControl/>
        <w:shd w:val="clear" w:color="auto" w:fill="FFFFFF"/>
        <w:spacing w:line="360" w:lineRule="auto"/>
        <w:ind w:firstLine="525" w:firstLineChars="250"/>
        <w:rPr>
          <w:rFonts w:asci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合同金额：人民币元（大写：），以上价格以人民币结算，该价格中包含货物设备的采购、包装、运输（运至甲方指定地点）、装卸、保险、税费、安装、调试、配合验收和培训的技术服务（包括技术资料提供）、检验、售后服务保障等费用。</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二、付款方式</w:t>
      </w:r>
    </w:p>
    <w:p>
      <w:pPr>
        <w:widowControl/>
        <w:shd w:val="clear" w:color="auto" w:fill="FFFFFF"/>
        <w:spacing w:line="360" w:lineRule="auto"/>
        <w:rPr>
          <w:rFonts w:ascii="宋体" w:cs="宋体"/>
          <w:b w:val="0"/>
          <w:bCs w:val="0"/>
          <w:color w:val="000000" w:themeColor="text1"/>
          <w:szCs w:val="21"/>
          <w:u w:val="none"/>
        </w:rPr>
      </w:pPr>
      <w:r>
        <w:rPr>
          <w:rFonts w:ascii="宋体" w:cs="宋体"/>
          <w:b w:val="0"/>
          <w:bCs w:val="0"/>
          <w:color w:val="000000" w:themeColor="text1"/>
          <w:szCs w:val="21"/>
        </w:rPr>
        <w:t> </w:t>
      </w:r>
      <w:r>
        <w:rPr>
          <w:rFonts w:hint="eastAsia" w:ascii="宋体" w:hAnsi="宋体" w:cs="宋体"/>
          <w:b w:val="0"/>
          <w:bCs w:val="0"/>
          <w:color w:val="000000" w:themeColor="text1"/>
          <w:szCs w:val="21"/>
          <w:u w:val="none"/>
        </w:rPr>
        <w:t>合同签订后支付合同价款的50%，机械及设备进入工地后付合同价款的20%，工程完工调试投入使用后，检验合格后付合同价款的25%，剩余5%作为质保金，质保期满后10日内无质量问题甲方一次性付清。</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三、交货时间、交货地点</w:t>
      </w:r>
    </w:p>
    <w:p>
      <w:pPr>
        <w:widowControl/>
        <w:shd w:val="clear" w:color="auto" w:fill="FFFFFF"/>
        <w:spacing w:line="360" w:lineRule="auto"/>
        <w:ind w:firstLine="48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交货时间：</w:t>
      </w:r>
      <w:r>
        <w:rPr>
          <w:rFonts w:ascii="宋体" w:cs="宋体"/>
          <w:color w:val="000000" w:themeColor="text1"/>
          <w:szCs w:val="21"/>
          <w:u w:val="single"/>
        </w:rPr>
        <w:t>     </w:t>
      </w:r>
      <w:r>
        <w:rPr>
          <w:rFonts w:hint="eastAsia" w:ascii="宋体" w:hAnsi="宋体" w:cs="宋体"/>
          <w:color w:val="000000" w:themeColor="text1"/>
          <w:szCs w:val="21"/>
        </w:rPr>
        <w:t>年</w:t>
      </w:r>
      <w:r>
        <w:rPr>
          <w:rFonts w:ascii="宋体" w:cs="宋体"/>
          <w:color w:val="000000" w:themeColor="text1"/>
          <w:szCs w:val="21"/>
          <w:u w:val="single"/>
        </w:rPr>
        <w:t>   </w:t>
      </w:r>
      <w:r>
        <w:rPr>
          <w:rFonts w:hint="eastAsia" w:ascii="宋体" w:hAnsi="宋体" w:cs="宋体"/>
          <w:color w:val="000000" w:themeColor="text1"/>
          <w:szCs w:val="21"/>
        </w:rPr>
        <w:t>月</w:t>
      </w:r>
      <w:r>
        <w:rPr>
          <w:rFonts w:ascii="宋体" w:cs="宋体"/>
          <w:color w:val="000000" w:themeColor="text1"/>
          <w:szCs w:val="21"/>
          <w:u w:val="single"/>
        </w:rPr>
        <w:t>   </w:t>
      </w:r>
      <w:r>
        <w:rPr>
          <w:rFonts w:hint="eastAsia" w:ascii="宋体" w:hAnsi="宋体" w:cs="宋体"/>
          <w:color w:val="000000" w:themeColor="text1"/>
          <w:szCs w:val="21"/>
        </w:rPr>
        <w:t>日。</w:t>
      </w:r>
    </w:p>
    <w:p>
      <w:pPr>
        <w:widowControl/>
        <w:shd w:val="clear" w:color="auto" w:fill="FFFFFF"/>
        <w:spacing w:line="360" w:lineRule="auto"/>
        <w:ind w:firstLine="48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交货地点：</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四、履约验收</w:t>
      </w:r>
    </w:p>
    <w:p>
      <w:pPr>
        <w:widowControl/>
        <w:shd w:val="clear" w:color="auto" w:fill="FFFFFF"/>
        <w:spacing w:line="360" w:lineRule="auto"/>
        <w:ind w:firstLine="525" w:firstLineChars="25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乙方提供的设备为最新生产的原装正品，各项指标符合出产国检测标准和出厂标准，各项技术参数符合招标文件要求和乙方投标文件承诺。</w:t>
      </w:r>
    </w:p>
    <w:p>
      <w:pPr>
        <w:widowControl/>
        <w:shd w:val="clear" w:color="auto" w:fill="FFFFFF"/>
        <w:spacing w:line="360" w:lineRule="auto"/>
        <w:ind w:firstLine="525" w:firstLineChars="25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乙方所交产品不符合规定或质量不合格的，由乙方负责包换，并承担换货而支付的一切费用。乙方不能调换的，按不能交货处理。</w:t>
      </w:r>
    </w:p>
    <w:p>
      <w:pPr>
        <w:widowControl/>
        <w:shd w:val="clear" w:color="auto" w:fill="FFFFFF"/>
        <w:spacing w:line="360" w:lineRule="auto"/>
        <w:ind w:firstLine="525" w:firstLineChars="250"/>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乙方应保证所提供的设备不侵犯第三方的专利权、商标权、著作权或其他知识产权。若乙方的行为侵犯了第三方的前述权利，并造成了第三方追究甲方的责任，甲方为此所受到的损失，应由乙方承担。</w:t>
      </w:r>
    </w:p>
    <w:p>
      <w:pPr>
        <w:widowControl/>
        <w:shd w:val="clear" w:color="auto" w:fill="FFFFFF"/>
        <w:spacing w:line="360" w:lineRule="auto"/>
        <w:ind w:firstLine="525" w:firstLineChars="250"/>
        <w:rPr>
          <w:rFonts w:asci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甲方按国家相关标准和本招标文件的相关要求自行组织有关专业人员验收。</w:t>
      </w:r>
    </w:p>
    <w:p>
      <w:pPr>
        <w:widowControl/>
        <w:shd w:val="clear" w:color="auto" w:fill="FFFFFF"/>
        <w:spacing w:line="360" w:lineRule="auto"/>
        <w:ind w:firstLine="525" w:firstLineChars="250"/>
        <w:rPr>
          <w:rFonts w:asci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验收内容：所采购的货物数量、参数标准、规格和质量。</w:t>
      </w:r>
    </w:p>
    <w:p>
      <w:pPr>
        <w:widowControl/>
        <w:shd w:val="clear" w:color="auto" w:fill="FFFFFF"/>
        <w:spacing w:line="380" w:lineRule="exact"/>
        <w:rPr>
          <w:rFonts w:ascii="宋体" w:cs="宋体"/>
          <w:color w:val="000000" w:themeColor="text1"/>
          <w:szCs w:val="21"/>
        </w:rPr>
      </w:pPr>
      <w:r>
        <w:rPr>
          <w:rFonts w:hint="eastAsia" w:ascii="宋体" w:hAnsi="宋体" w:cs="宋体"/>
          <w:b/>
          <w:bCs/>
          <w:color w:val="000000" w:themeColor="text1"/>
          <w:szCs w:val="21"/>
        </w:rPr>
        <w:t>五、保修条款、售后服务</w:t>
      </w:r>
    </w:p>
    <w:p>
      <w:pPr>
        <w:widowControl/>
        <w:shd w:val="clear" w:color="auto" w:fill="FFFFFF"/>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严格遵守售后服务承诺，质保期为</w:t>
      </w:r>
      <w:r>
        <w:rPr>
          <w:rFonts w:hint="eastAsia" w:ascii="宋体" w:hAnsi="宋体" w:cs="宋体"/>
          <w:bCs/>
          <w:color w:val="000000" w:themeColor="text1"/>
          <w:szCs w:val="21"/>
        </w:rPr>
        <w:t>自验收后一</w:t>
      </w:r>
      <w:r>
        <w:rPr>
          <w:rFonts w:hint="eastAsia" w:ascii="宋体" w:hAnsi="宋体" w:cs="宋体"/>
          <w:color w:val="000000" w:themeColor="text1"/>
          <w:szCs w:val="21"/>
        </w:rPr>
        <w:t>年（若乙方投标文件中承诺的质保期超过招标文件要求，以乙方投标文件中承诺的质保期为准）。凡在质保期内，产品出现质量问题，须免费维修，并对产品质量实行“三包”服务。在质保期外，提供设备的更换、维修只收取成本费用，不收取人工技术等费用。</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六、相关权利及义务</w:t>
      </w:r>
    </w:p>
    <w:p>
      <w:pPr>
        <w:widowControl/>
        <w:shd w:val="clear" w:color="auto" w:fill="FFFFFF"/>
        <w:spacing w:line="360" w:lineRule="auto"/>
        <w:ind w:firstLine="420" w:firstLineChars="20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甲方在验收时对不符合招标文件要求的产品有权拒绝接收和追究违约责任。</w:t>
      </w:r>
    </w:p>
    <w:p>
      <w:pPr>
        <w:widowControl/>
        <w:shd w:val="clear" w:color="auto" w:fill="FFFFFF"/>
        <w:spacing w:line="360" w:lineRule="auto"/>
        <w:ind w:firstLine="420" w:firstLineChars="20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甲方有权监督乙方的售后服务，并对乙方的售后服务不符合投标文件承诺内容时加以指出乃至追究合同责任。</w:t>
      </w:r>
    </w:p>
    <w:p>
      <w:pPr>
        <w:widowControl/>
        <w:shd w:val="clear" w:color="auto" w:fill="FFFFFF"/>
        <w:spacing w:line="360" w:lineRule="auto"/>
        <w:ind w:firstLine="420" w:firstLineChars="200"/>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甲方在合同规定期限内协助履行付款责任。</w:t>
      </w:r>
    </w:p>
    <w:p>
      <w:pPr>
        <w:widowControl/>
        <w:shd w:val="clear" w:color="auto" w:fill="FFFFFF"/>
        <w:spacing w:line="360" w:lineRule="auto"/>
        <w:ind w:firstLine="420" w:firstLineChars="200"/>
        <w:rPr>
          <w:rFonts w:asci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甲方对乙方的技术及商业机密予以保密。</w:t>
      </w:r>
    </w:p>
    <w:p>
      <w:pPr>
        <w:widowControl/>
        <w:shd w:val="clear" w:color="auto" w:fill="FFFFFF"/>
        <w:spacing w:line="360" w:lineRule="auto"/>
        <w:ind w:firstLine="420" w:firstLineChars="200"/>
        <w:rPr>
          <w:rFonts w:asci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乙方有权按照合同要求及时支付相应合同款项。</w:t>
      </w:r>
    </w:p>
    <w:p>
      <w:pPr>
        <w:widowControl/>
        <w:shd w:val="clear" w:color="auto" w:fill="FFFFFF"/>
        <w:spacing w:line="360" w:lineRule="auto"/>
        <w:ind w:firstLine="420" w:firstLineChars="200"/>
        <w:rPr>
          <w:rFonts w:ascii="宋体" w:cs="宋体"/>
          <w:color w:val="000000" w:themeColor="text1"/>
          <w:szCs w:val="21"/>
        </w:rPr>
      </w:pPr>
      <w:r>
        <w:rPr>
          <w:rFonts w:ascii="宋体" w:hAnsi="宋体" w:cs="宋体"/>
          <w:color w:val="000000" w:themeColor="text1"/>
          <w:szCs w:val="21"/>
        </w:rPr>
        <w:t>6.</w:t>
      </w:r>
      <w:r>
        <w:rPr>
          <w:rFonts w:hint="eastAsia" w:ascii="宋体" w:hAnsi="宋体" w:cs="宋体"/>
          <w:color w:val="000000" w:themeColor="text1"/>
          <w:szCs w:val="21"/>
        </w:rPr>
        <w:t>乙方有义务按投标文件中的售后服务承诺提供良好的服务。</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七、违约责任</w:t>
      </w:r>
    </w:p>
    <w:p>
      <w:pPr>
        <w:widowControl/>
        <w:shd w:val="clear" w:color="auto" w:fill="FFFFFF"/>
        <w:spacing w:line="360" w:lineRule="auto"/>
        <w:ind w:left="4" w:leftChars="2" w:firstLine="420" w:firstLineChars="200"/>
        <w:rPr>
          <w:rFonts w:ascii="宋体" w:cs="宋体"/>
          <w:color w:val="000000" w:themeColor="text1"/>
          <w:szCs w:val="21"/>
        </w:rPr>
      </w:pPr>
      <w:r>
        <w:rPr>
          <w:rFonts w:hint="eastAsia" w:ascii="宋体" w:hAnsi="宋体" w:cs="宋体"/>
          <w:color w:val="000000" w:themeColor="text1"/>
          <w:szCs w:val="21"/>
        </w:rPr>
        <w:t>甲乙双方均应遵守本合同，如有违约，将赔偿因违约给对方造成的经济损失，并向对方支付本合同总额</w:t>
      </w:r>
      <w:r>
        <w:rPr>
          <w:rFonts w:ascii="宋体" w:hAnsi="宋体" w:cs="宋体"/>
          <w:color w:val="000000" w:themeColor="text1"/>
          <w:szCs w:val="21"/>
        </w:rPr>
        <w:t>5%</w:t>
      </w:r>
      <w:r>
        <w:rPr>
          <w:rFonts w:hint="eastAsia" w:ascii="宋体" w:hAnsi="宋体" w:cs="宋体"/>
          <w:color w:val="000000" w:themeColor="text1"/>
          <w:szCs w:val="21"/>
        </w:rPr>
        <w:t>的违约金。若因乙方原因在合同规定期限内无法交货，甲方有权终止合同。甲方将视情况在延迟交货期内每天按合同总额</w:t>
      </w:r>
      <w:r>
        <w:rPr>
          <w:rFonts w:ascii="宋体" w:hAnsi="宋体" w:cs="宋体"/>
          <w:color w:val="000000" w:themeColor="text1"/>
          <w:szCs w:val="21"/>
        </w:rPr>
        <w:t>3</w:t>
      </w:r>
      <w:r>
        <w:rPr>
          <w:rFonts w:hint="eastAsia" w:ascii="宋体" w:hAnsi="宋体" w:cs="宋体"/>
          <w:color w:val="000000" w:themeColor="text1"/>
          <w:szCs w:val="21"/>
        </w:rPr>
        <w:t>‰的标准收取违约金，并提请政府采购监管部门将其列入不良行为记录。因不可抗力所导致的交货及付款延迟等按照《中华人民共和国合同法》有关条文及本合同第八条处理。</w:t>
      </w:r>
    </w:p>
    <w:p>
      <w:pPr>
        <w:widowControl/>
        <w:shd w:val="clear" w:color="auto" w:fill="FFFFFF"/>
        <w:spacing w:line="360" w:lineRule="auto"/>
        <w:rPr>
          <w:rFonts w:ascii="宋体" w:cs="宋体"/>
          <w:color w:val="000000" w:themeColor="text1"/>
          <w:szCs w:val="21"/>
        </w:rPr>
      </w:pPr>
      <w:r>
        <w:rPr>
          <w:rFonts w:hint="eastAsia" w:ascii="宋体" w:hAnsi="宋体" w:cs="宋体"/>
          <w:b/>
          <w:bCs/>
          <w:color w:val="000000" w:themeColor="text1"/>
          <w:szCs w:val="21"/>
        </w:rPr>
        <w:t>八、不可抗力</w:t>
      </w:r>
    </w:p>
    <w:p>
      <w:pPr>
        <w:widowControl/>
        <w:shd w:val="clear" w:color="auto" w:fill="FFFFFF"/>
        <w:spacing w:line="360" w:lineRule="auto"/>
        <w:ind w:firstLine="420" w:firstLineChars="200"/>
        <w:rPr>
          <w:rFonts w:ascii="宋体" w:cs="宋体"/>
          <w:color w:val="000000" w:themeColor="text1"/>
          <w:szCs w:val="21"/>
        </w:rPr>
      </w:pPr>
      <w:r>
        <w:rPr>
          <w:rFonts w:hint="eastAsia" w:ascii="宋体" w:hAnsi="宋体" w:cs="宋体"/>
          <w:color w:val="000000" w:themeColor="text1"/>
          <w:szCs w:val="21"/>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pPr>
        <w:widowControl/>
        <w:shd w:val="clear" w:color="auto" w:fill="FFFFFF"/>
        <w:spacing w:line="360" w:lineRule="exact"/>
        <w:rPr>
          <w:rFonts w:ascii="宋体" w:cs="宋体"/>
          <w:color w:val="000000" w:themeColor="text1"/>
          <w:szCs w:val="21"/>
        </w:rPr>
      </w:pPr>
      <w:r>
        <w:rPr>
          <w:rFonts w:hint="eastAsia" w:ascii="宋体" w:hAnsi="宋体" w:cs="宋体"/>
          <w:b/>
          <w:bCs/>
          <w:color w:val="000000" w:themeColor="text1"/>
          <w:szCs w:val="21"/>
        </w:rPr>
        <w:t>九、争议</w:t>
      </w:r>
    </w:p>
    <w:p>
      <w:pPr>
        <w:widowControl/>
        <w:shd w:val="clear" w:color="auto" w:fill="FFFFFF"/>
        <w:spacing w:line="360" w:lineRule="auto"/>
        <w:ind w:firstLine="480"/>
        <w:rPr>
          <w:rFonts w:ascii="宋体" w:cs="宋体"/>
          <w:color w:val="000000" w:themeColor="text1"/>
          <w:szCs w:val="21"/>
        </w:rPr>
      </w:pPr>
      <w:r>
        <w:rPr>
          <w:rFonts w:hint="eastAsia" w:ascii="宋体" w:hAnsi="宋体" w:cs="宋体"/>
          <w:color w:val="000000" w:themeColor="text1"/>
          <w:szCs w:val="21"/>
        </w:rPr>
        <w:t>双方本着友好合作的态度，对合同履行过程中发生的违约行为进行及时的协商解决，如不能协商解决可向甲方所在地人民法院提起诉讼。</w:t>
      </w:r>
    </w:p>
    <w:p>
      <w:pPr>
        <w:widowControl/>
        <w:shd w:val="clear" w:color="auto" w:fill="FFFFFF"/>
        <w:spacing w:line="360" w:lineRule="exact"/>
        <w:rPr>
          <w:rFonts w:ascii="宋体" w:cs="宋体"/>
          <w:color w:val="000000" w:themeColor="text1"/>
          <w:szCs w:val="21"/>
        </w:rPr>
      </w:pPr>
      <w:r>
        <w:rPr>
          <w:rFonts w:hint="eastAsia" w:ascii="宋体" w:hAnsi="宋体" w:cs="宋体"/>
          <w:b/>
          <w:bCs/>
          <w:color w:val="000000" w:themeColor="text1"/>
          <w:szCs w:val="21"/>
        </w:rPr>
        <w:t>十、其它</w:t>
      </w:r>
    </w:p>
    <w:p>
      <w:pPr>
        <w:widowControl/>
        <w:shd w:val="clear" w:color="auto" w:fill="FFFFFF"/>
        <w:spacing w:line="360" w:lineRule="auto"/>
        <w:ind w:firstLine="480"/>
        <w:rPr>
          <w:rFonts w:ascii="宋体" w:cs="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本合同一式陆份，甲方叁份，乙方叁份。</w:t>
      </w:r>
    </w:p>
    <w:p>
      <w:pPr>
        <w:widowControl/>
        <w:shd w:val="clear" w:color="auto" w:fill="FFFFFF"/>
        <w:spacing w:line="360" w:lineRule="auto"/>
        <w:ind w:firstLine="48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本合同自双方签订之日起生效。</w:t>
      </w:r>
    </w:p>
    <w:p>
      <w:pPr>
        <w:widowControl/>
        <w:shd w:val="clear" w:color="auto" w:fill="FFFFFF"/>
        <w:spacing w:line="360" w:lineRule="auto"/>
        <w:ind w:firstLine="480"/>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本项目招标文件、投标文件等是本合同的附件，与合同具有同等的法律效力。</w:t>
      </w:r>
    </w:p>
    <w:p>
      <w:pPr>
        <w:widowControl/>
        <w:shd w:val="clear" w:color="auto" w:fill="FFFFFF"/>
        <w:spacing w:line="360" w:lineRule="auto"/>
        <w:ind w:firstLine="480"/>
        <w:rPr>
          <w:rFonts w:asci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其它未尽事宜，由甲乙双方友好协商解决，并参照《中华人民共和国合同法》有关条款执行。</w:t>
      </w:r>
    </w:p>
    <w:p>
      <w:pPr>
        <w:rPr>
          <w:rFonts w:ascii="宋体" w:cs="宋体"/>
          <w:b/>
          <w:bCs/>
          <w:color w:val="000000" w:themeColor="text1"/>
          <w:szCs w:val="21"/>
          <w:u w:val="single"/>
        </w:rPr>
      </w:pPr>
      <w:bookmarkStart w:id="318" w:name="_Toc434259402"/>
      <w:r>
        <w:rPr>
          <w:rFonts w:hint="eastAsia" w:ascii="宋体" w:hAnsi="宋体" w:cs="宋体"/>
          <w:b/>
          <w:bCs/>
          <w:color w:val="000000" w:themeColor="text1"/>
          <w:szCs w:val="21"/>
        </w:rPr>
        <w:t>附件：乙方报价一览表</w:t>
      </w:r>
      <w:bookmarkEnd w:id="318"/>
    </w:p>
    <w:p>
      <w:pPr>
        <w:pStyle w:val="5"/>
        <w:rPr>
          <w:rFonts w:hAnsi="宋体" w:cs="宋体"/>
          <w:color w:val="000000" w:themeColor="text1"/>
          <w:sz w:val="21"/>
          <w:szCs w:val="21"/>
        </w:rPr>
      </w:pPr>
    </w:p>
    <w:p>
      <w:pPr>
        <w:pStyle w:val="5"/>
        <w:rPr>
          <w:rFonts w:hAnsi="宋体" w:cs="宋体"/>
          <w:color w:val="000000" w:themeColor="text1"/>
          <w:sz w:val="21"/>
          <w:szCs w:val="21"/>
        </w:rPr>
      </w:pPr>
    </w:p>
    <w:p>
      <w:pPr>
        <w:pStyle w:val="5"/>
        <w:rPr>
          <w:rFonts w:hAnsi="宋体" w:cs="宋体"/>
          <w:color w:val="000000" w:themeColor="text1"/>
          <w:sz w:val="21"/>
          <w:szCs w:val="21"/>
        </w:rPr>
      </w:pPr>
    </w:p>
    <w:p>
      <w:pPr>
        <w:pStyle w:val="5"/>
        <w:rPr>
          <w:rFonts w:hAnsi="宋体" w:cs="宋体"/>
          <w:color w:val="000000" w:themeColor="text1"/>
          <w:sz w:val="21"/>
          <w:szCs w:val="21"/>
        </w:rPr>
      </w:pPr>
    </w:p>
    <w:p>
      <w:pPr>
        <w:pStyle w:val="5"/>
        <w:rPr>
          <w:rFonts w:hAnsi="宋体" w:cs="宋体"/>
          <w:color w:val="000000" w:themeColor="text1"/>
          <w:sz w:val="21"/>
          <w:szCs w:val="21"/>
        </w:rPr>
      </w:pPr>
    </w:p>
    <w:p>
      <w:pPr>
        <w:widowControl/>
        <w:shd w:val="clear" w:color="auto" w:fill="FFFFFF"/>
        <w:spacing w:line="600" w:lineRule="auto"/>
        <w:ind w:left="567"/>
        <w:rPr>
          <w:rFonts w:ascii="宋体" w:cs="宋体"/>
          <w:color w:val="000000" w:themeColor="text1"/>
          <w:szCs w:val="21"/>
        </w:rPr>
      </w:pPr>
      <w:r>
        <w:rPr>
          <w:rFonts w:hint="eastAsia" w:ascii="宋体" w:hAnsi="宋体" w:cs="宋体"/>
          <w:color w:val="000000" w:themeColor="text1"/>
          <w:szCs w:val="21"/>
        </w:rPr>
        <w:t>甲方（盖章）：</w:t>
      </w:r>
      <w:r>
        <w:rPr>
          <w:rFonts w:ascii="宋体" w:cs="宋体"/>
          <w:color w:val="000000" w:themeColor="text1"/>
          <w:szCs w:val="21"/>
        </w:rPr>
        <w:t>       </w:t>
      </w:r>
      <w:r>
        <w:rPr>
          <w:rFonts w:hint="eastAsia" w:ascii="宋体" w:cs="宋体"/>
          <w:color w:val="000000" w:themeColor="text1"/>
          <w:szCs w:val="21"/>
          <w:lang w:val="en-US" w:eastAsia="zh-CN"/>
        </w:rPr>
        <w:t xml:space="preserve">   </w:t>
      </w:r>
      <w:r>
        <w:rPr>
          <w:rFonts w:ascii="宋体" w:cs="宋体"/>
          <w:color w:val="000000" w:themeColor="text1"/>
          <w:szCs w:val="21"/>
        </w:rPr>
        <w:t>     </w:t>
      </w:r>
      <w:r>
        <w:rPr>
          <w:rFonts w:hint="eastAsia" w:ascii="宋体" w:cs="宋体"/>
          <w:color w:val="000000" w:themeColor="text1"/>
          <w:szCs w:val="21"/>
          <w:lang w:val="en-US" w:eastAsia="zh-CN"/>
        </w:rPr>
        <w:t xml:space="preserve">                  </w:t>
      </w:r>
      <w:r>
        <w:rPr>
          <w:rFonts w:hint="eastAsia" w:ascii="宋体" w:hAnsi="宋体" w:cs="宋体"/>
          <w:color w:val="000000" w:themeColor="text1"/>
          <w:szCs w:val="21"/>
        </w:rPr>
        <w:t>乙方（盖章）：</w:t>
      </w:r>
      <w:r>
        <w:rPr>
          <w:rFonts w:ascii="宋体" w:cs="宋体"/>
          <w:color w:val="000000" w:themeColor="text1"/>
          <w:szCs w:val="21"/>
        </w:rPr>
        <w:t>   </w:t>
      </w:r>
    </w:p>
    <w:p>
      <w:pPr>
        <w:widowControl/>
        <w:shd w:val="clear" w:color="auto" w:fill="FFFFFF"/>
        <w:spacing w:line="600" w:lineRule="auto"/>
        <w:ind w:left="567"/>
        <w:rPr>
          <w:rFonts w:ascii="宋体" w:cs="宋体"/>
          <w:color w:val="000000" w:themeColor="text1"/>
          <w:szCs w:val="21"/>
        </w:rPr>
      </w:pPr>
      <w:r>
        <w:rPr>
          <w:rFonts w:hint="eastAsia" w:ascii="宋体" w:hAnsi="宋体" w:cs="宋体"/>
          <w:color w:val="000000" w:themeColor="text1"/>
          <w:szCs w:val="21"/>
        </w:rPr>
        <w:t>甲方代表（签字）</w:t>
      </w:r>
      <w:r>
        <w:rPr>
          <w:rFonts w:ascii="宋体" w:hAnsi="宋体" w:cs="宋体"/>
          <w:color w:val="000000" w:themeColor="text1"/>
          <w:szCs w:val="21"/>
        </w:rPr>
        <w:t xml:space="preserve">:             </w:t>
      </w:r>
      <w:r>
        <w:rPr>
          <w:rFonts w:hint="eastAsia" w:ascii="宋体" w:hAnsi="宋体" w:cs="宋体"/>
          <w:color w:val="000000" w:themeColor="text1"/>
          <w:szCs w:val="21"/>
        </w:rPr>
        <w:t>乙方代表（签字）：</w:t>
      </w:r>
    </w:p>
    <w:p>
      <w:pPr>
        <w:widowControl/>
        <w:shd w:val="clear" w:color="auto" w:fill="FFFFFF"/>
        <w:spacing w:line="600" w:lineRule="auto"/>
        <w:ind w:left="567"/>
        <w:rPr>
          <w:rFonts w:ascii="宋体" w:cs="宋体"/>
          <w:color w:val="000000" w:themeColor="text1"/>
          <w:szCs w:val="21"/>
        </w:rPr>
      </w:pPr>
      <w:r>
        <w:rPr>
          <w:rFonts w:hint="eastAsia" w:ascii="宋体" w:hAnsi="宋体" w:cs="宋体"/>
          <w:color w:val="000000" w:themeColor="text1"/>
          <w:szCs w:val="21"/>
        </w:rPr>
        <w:t>地址：</w:t>
      </w:r>
      <w:r>
        <w:rPr>
          <w:rFonts w:ascii="宋体" w:cs="宋体"/>
          <w:color w:val="000000" w:themeColor="text1"/>
          <w:szCs w:val="21"/>
        </w:rPr>
        <w:t>         </w:t>
      </w:r>
      <w:r>
        <w:rPr>
          <w:rFonts w:hint="eastAsia" w:ascii="宋体" w:cs="宋体"/>
          <w:color w:val="000000" w:themeColor="text1"/>
          <w:szCs w:val="21"/>
          <w:lang w:val="en-US" w:eastAsia="zh-CN"/>
        </w:rPr>
        <w:t xml:space="preserve">                           </w:t>
      </w:r>
      <w:r>
        <w:rPr>
          <w:rFonts w:ascii="宋体" w:cs="宋体"/>
          <w:color w:val="000000" w:themeColor="text1"/>
          <w:szCs w:val="21"/>
        </w:rPr>
        <w:t>     </w:t>
      </w:r>
      <w:r>
        <w:rPr>
          <w:rFonts w:hint="eastAsia" w:ascii="宋体" w:hAnsi="宋体" w:cs="宋体"/>
          <w:color w:val="000000" w:themeColor="text1"/>
          <w:szCs w:val="21"/>
        </w:rPr>
        <w:t>地址：</w:t>
      </w:r>
    </w:p>
    <w:p>
      <w:pPr>
        <w:widowControl/>
        <w:shd w:val="clear" w:color="auto" w:fill="FFFFFF"/>
        <w:spacing w:line="600" w:lineRule="auto"/>
        <w:ind w:left="567"/>
        <w:rPr>
          <w:rFonts w:ascii="宋体" w:cs="宋体"/>
          <w:color w:val="000000" w:themeColor="text1"/>
          <w:szCs w:val="21"/>
        </w:rPr>
      </w:pPr>
      <w:r>
        <w:rPr>
          <w:rFonts w:hint="eastAsia" w:ascii="宋体" w:hAnsi="宋体" w:cs="宋体"/>
          <w:color w:val="000000" w:themeColor="text1"/>
          <w:szCs w:val="21"/>
        </w:rPr>
        <w:t>电话：</w:t>
      </w:r>
      <w:r>
        <w:rPr>
          <w:rFonts w:ascii="宋体" w:cs="宋体"/>
          <w:color w:val="000000" w:themeColor="text1"/>
          <w:szCs w:val="21"/>
        </w:rPr>
        <w:t>              </w:t>
      </w:r>
      <w:r>
        <w:rPr>
          <w:rFonts w:hint="eastAsia" w:ascii="宋体" w:cs="宋体"/>
          <w:color w:val="000000" w:themeColor="text1"/>
          <w:szCs w:val="21"/>
          <w:lang w:val="en-US" w:eastAsia="zh-CN"/>
        </w:rPr>
        <w:t xml:space="preserve">                           </w:t>
      </w:r>
      <w:r>
        <w:rPr>
          <w:rFonts w:ascii="宋体" w:cs="宋体"/>
          <w:color w:val="000000" w:themeColor="text1"/>
          <w:szCs w:val="21"/>
        </w:rPr>
        <w:t> </w:t>
      </w:r>
      <w:r>
        <w:rPr>
          <w:rFonts w:hint="eastAsia" w:ascii="宋体" w:hAnsi="宋体" w:cs="宋体"/>
          <w:color w:val="000000" w:themeColor="text1"/>
          <w:szCs w:val="21"/>
        </w:rPr>
        <w:t>电话：</w:t>
      </w:r>
      <w:r>
        <w:rPr>
          <w:rFonts w:ascii="宋体" w:cs="宋体"/>
          <w:color w:val="000000" w:themeColor="text1"/>
          <w:szCs w:val="21"/>
        </w:rPr>
        <w:t>    </w:t>
      </w:r>
    </w:p>
    <w:p>
      <w:pPr>
        <w:widowControl/>
        <w:shd w:val="clear" w:color="auto" w:fill="FFFFFF"/>
        <w:spacing w:line="600" w:lineRule="auto"/>
        <w:ind w:left="567"/>
        <w:rPr>
          <w:rFonts w:ascii="宋体" w:cs="宋体"/>
          <w:color w:val="000000" w:themeColor="text1"/>
          <w:szCs w:val="21"/>
        </w:rPr>
      </w:pPr>
      <w:r>
        <w:rPr>
          <w:rFonts w:hint="eastAsia" w:ascii="宋体" w:hAnsi="宋体" w:cs="宋体"/>
          <w:color w:val="000000" w:themeColor="text1"/>
          <w:szCs w:val="21"/>
        </w:rPr>
        <w:t>开户银行：</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开户银行：</w:t>
      </w:r>
    </w:p>
    <w:p>
      <w:pPr>
        <w:widowControl/>
        <w:shd w:val="clear" w:color="auto" w:fill="FFFFFF"/>
        <w:spacing w:line="600" w:lineRule="auto"/>
        <w:ind w:left="567"/>
        <w:rPr>
          <w:rFonts w:ascii="宋体" w:cs="宋体"/>
          <w:color w:val="000000" w:themeColor="text1"/>
          <w:szCs w:val="21"/>
        </w:rPr>
      </w:pPr>
      <w:r>
        <w:rPr>
          <w:rFonts w:hint="eastAsia" w:ascii="宋体" w:hAnsi="宋体" w:cs="宋体"/>
          <w:color w:val="000000" w:themeColor="text1"/>
          <w:szCs w:val="21"/>
        </w:rPr>
        <w:t>开户账号：</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开户账号：</w:t>
      </w:r>
    </w:p>
    <w:p>
      <w:pPr>
        <w:widowControl/>
        <w:shd w:val="clear" w:color="auto" w:fill="FFFFFF"/>
        <w:spacing w:line="360" w:lineRule="auto"/>
        <w:ind w:left="567" w:firstLine="1050" w:firstLineChars="500"/>
        <w:rPr>
          <w:rFonts w:ascii="宋体" w:cs="宋体"/>
          <w:b/>
          <w:bCs/>
          <w:color w:val="000000" w:themeColor="text1"/>
          <w:szCs w:val="21"/>
        </w:rPr>
      </w:pP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 xml:space="preserve">    </w:t>
      </w:r>
      <w:r>
        <w:rPr>
          <w:rFonts w:ascii="宋体" w:cs="宋体"/>
          <w:color w:val="000000" w:themeColor="text1"/>
          <w:szCs w:val="21"/>
        </w:rPr>
        <w:t> </w:t>
      </w:r>
      <w:r>
        <w:rPr>
          <w:rFonts w:hint="eastAsia" w:ascii="宋体" w:hAnsi="宋体" w:cs="宋体"/>
          <w:color w:val="000000" w:themeColor="text1"/>
          <w:szCs w:val="21"/>
        </w:rPr>
        <w:t>月</w:t>
      </w:r>
      <w:r>
        <w:rPr>
          <w:rFonts w:ascii="宋体" w:cs="宋体"/>
          <w:color w:val="000000" w:themeColor="text1"/>
          <w:szCs w:val="21"/>
        </w:rPr>
        <w:t> </w:t>
      </w:r>
      <w:r>
        <w:rPr>
          <w:rFonts w:hint="eastAsia" w:ascii="宋体" w:cs="宋体"/>
          <w:color w:val="000000" w:themeColor="text1"/>
          <w:szCs w:val="21"/>
          <w:lang w:val="en-US" w:eastAsia="zh-CN"/>
        </w:rPr>
        <w:t xml:space="preserve">    </w:t>
      </w:r>
      <w:r>
        <w:rPr>
          <w:rFonts w:hint="eastAsia" w:ascii="宋体" w:hAnsi="宋体" w:cs="宋体"/>
          <w:color w:val="000000" w:themeColor="text1"/>
          <w:szCs w:val="21"/>
        </w:rPr>
        <w:t>日</w:t>
      </w:r>
      <w:r>
        <w:rPr>
          <w:rFonts w:ascii="宋体" w:hAnsi="宋体" w:cs="宋体"/>
          <w:color w:val="000000" w:themeColor="text1"/>
          <w:szCs w:val="21"/>
        </w:rPr>
        <w:t xml:space="preserve">                    </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年</w:t>
      </w:r>
      <w:r>
        <w:rPr>
          <w:rFonts w:ascii="宋体" w:cs="宋体"/>
          <w:color w:val="000000" w:themeColor="text1"/>
          <w:szCs w:val="21"/>
        </w:rPr>
        <w:t> </w:t>
      </w:r>
      <w:r>
        <w:rPr>
          <w:rFonts w:hint="eastAsia" w:ascii="宋体" w:cs="宋体"/>
          <w:color w:val="000000" w:themeColor="text1"/>
          <w:szCs w:val="21"/>
          <w:lang w:val="en-US" w:eastAsia="zh-CN"/>
        </w:rPr>
        <w:t xml:space="preserve">    </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 xml:space="preserve">    </w:t>
      </w:r>
      <w:r>
        <w:rPr>
          <w:rFonts w:ascii="宋体" w:cs="宋体"/>
          <w:color w:val="000000" w:themeColor="text1"/>
          <w:szCs w:val="21"/>
        </w:rPr>
        <w:t> </w:t>
      </w:r>
      <w:r>
        <w:rPr>
          <w:rFonts w:hint="eastAsia" w:ascii="宋体" w:hAnsi="宋体" w:cs="宋体"/>
          <w:color w:val="000000" w:themeColor="text1"/>
          <w:szCs w:val="21"/>
        </w:rPr>
        <w:t>日</w:t>
      </w:r>
      <w:r>
        <w:rPr>
          <w:rFonts w:ascii="宋体" w:cs="宋体"/>
          <w:b/>
          <w:bCs/>
          <w:color w:val="000000" w:themeColor="text1"/>
          <w:szCs w:val="21"/>
        </w:rPr>
        <w:t>  </w:t>
      </w:r>
    </w:p>
    <w:p>
      <w:pPr>
        <w:rPr>
          <w:rFonts w:ascii="宋体" w:cs="宋体"/>
          <w:color w:val="000000" w:themeColor="text1"/>
          <w:sz w:val="24"/>
        </w:rPr>
      </w:pPr>
    </w:p>
    <w:p>
      <w:pPr>
        <w:tabs>
          <w:tab w:val="left" w:pos="360"/>
        </w:tabs>
        <w:rPr>
          <w:rFonts w:ascii="宋体" w:cs="宋体"/>
          <w:b/>
          <w:bCs/>
          <w:color w:val="000000" w:themeColor="text1"/>
          <w:sz w:val="24"/>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bookmarkEnd w:id="298"/>
    <w:bookmarkEnd w:id="299"/>
    <w:bookmarkEnd w:id="300"/>
    <w:bookmarkEnd w:id="301"/>
    <w:bookmarkEnd w:id="302"/>
    <w:bookmarkEnd w:id="303"/>
    <w:bookmarkEnd w:id="304"/>
    <w:bookmarkEnd w:id="305"/>
    <w:p>
      <w:pPr>
        <w:pStyle w:val="3"/>
        <w:rPr>
          <w:color w:val="000000" w:themeColor="text1"/>
          <w:szCs w:val="32"/>
        </w:rPr>
      </w:pPr>
      <w:bookmarkStart w:id="319" w:name="_Toc247085872"/>
      <w:bookmarkStart w:id="320" w:name="_Toc296602600"/>
      <w:bookmarkStart w:id="321" w:name="_Toc152042575"/>
      <w:bookmarkStart w:id="322" w:name="_Toc246997097"/>
      <w:bookmarkStart w:id="323" w:name="_Toc152045786"/>
      <w:bookmarkStart w:id="324" w:name="_Toc246996354"/>
      <w:bookmarkStart w:id="325" w:name="_Toc144974855"/>
      <w:bookmarkStart w:id="326" w:name="_Toc179632806"/>
      <w:bookmarkStart w:id="327" w:name="_Toc509321741"/>
      <w:bookmarkStart w:id="328" w:name="_Toc505243178"/>
      <w:bookmarkStart w:id="329" w:name="_Toc509393059"/>
      <w:r>
        <w:rPr>
          <w:rFonts w:hint="eastAsia"/>
          <w:color w:val="000000" w:themeColor="text1"/>
          <w:szCs w:val="32"/>
        </w:rPr>
        <w:t>第六章投标文件格式</w:t>
      </w:r>
      <w:bookmarkEnd w:id="319"/>
      <w:bookmarkEnd w:id="320"/>
      <w:bookmarkEnd w:id="321"/>
      <w:bookmarkEnd w:id="322"/>
      <w:bookmarkEnd w:id="323"/>
      <w:bookmarkEnd w:id="324"/>
      <w:bookmarkEnd w:id="325"/>
      <w:bookmarkEnd w:id="326"/>
      <w:r>
        <w:rPr>
          <w:rFonts w:hint="eastAsia"/>
          <w:color w:val="000000" w:themeColor="text1"/>
          <w:szCs w:val="32"/>
        </w:rPr>
        <w:t>（部分）</w:t>
      </w:r>
      <w:bookmarkEnd w:id="327"/>
      <w:bookmarkEnd w:id="328"/>
      <w:bookmarkEnd w:id="329"/>
    </w:p>
    <w:p>
      <w:pPr>
        <w:spacing w:line="440" w:lineRule="exact"/>
        <w:jc w:val="right"/>
        <w:rPr>
          <w:rFonts w:ascii="宋体"/>
          <w:color w:val="000000" w:themeColor="text1"/>
          <w:sz w:val="20"/>
          <w:szCs w:val="20"/>
        </w:rPr>
      </w:pPr>
      <w:r>
        <w:rPr>
          <w:rFonts w:hint="eastAsia" w:ascii="宋体" w:hAnsi="宋体"/>
          <w:color w:val="000000" w:themeColor="text1"/>
          <w:sz w:val="32"/>
          <w:szCs w:val="32"/>
        </w:rPr>
        <w:t>【正</w:t>
      </w:r>
      <w:r>
        <w:rPr>
          <w:rFonts w:ascii="宋体" w:hAnsi="宋体"/>
          <w:color w:val="000000" w:themeColor="text1"/>
          <w:sz w:val="32"/>
          <w:szCs w:val="32"/>
        </w:rPr>
        <w:t>/</w:t>
      </w:r>
      <w:r>
        <w:rPr>
          <w:rFonts w:hint="eastAsia" w:ascii="宋体" w:hAnsi="宋体"/>
          <w:color w:val="000000" w:themeColor="text1"/>
          <w:sz w:val="32"/>
          <w:szCs w:val="32"/>
        </w:rPr>
        <w:t>副本】</w:t>
      </w:r>
    </w:p>
    <w:p>
      <w:pPr>
        <w:spacing w:line="440" w:lineRule="exact"/>
        <w:rPr>
          <w:rFonts w:ascii="宋体"/>
          <w:color w:val="000000" w:themeColor="text1"/>
          <w:sz w:val="20"/>
          <w:szCs w:val="20"/>
        </w:rPr>
      </w:pPr>
    </w:p>
    <w:p>
      <w:pPr>
        <w:jc w:val="center"/>
        <w:rPr>
          <w:rFonts w:ascii="宋体"/>
          <w:color w:val="000000" w:themeColor="text1"/>
          <w:sz w:val="20"/>
          <w:szCs w:val="20"/>
        </w:rPr>
      </w:pPr>
      <w:r>
        <w:rPr>
          <w:rFonts w:hint="eastAsia" w:ascii="宋体" w:hAnsi="宋体"/>
          <w:color w:val="000000" w:themeColor="text1"/>
          <w:sz w:val="28"/>
          <w:szCs w:val="28"/>
        </w:rPr>
        <w:t>（项目名称）</w:t>
      </w:r>
    </w:p>
    <w:p>
      <w:pPr>
        <w:jc w:val="center"/>
        <w:rPr>
          <w:rFonts w:ascii="宋体"/>
          <w:color w:val="000000" w:themeColor="text1"/>
          <w:sz w:val="20"/>
          <w:szCs w:val="20"/>
        </w:rPr>
      </w:pPr>
    </w:p>
    <w:p>
      <w:pPr>
        <w:rPr>
          <w:rFonts w:ascii="宋体"/>
          <w:color w:val="000000" w:themeColor="text1"/>
          <w:sz w:val="20"/>
          <w:szCs w:val="20"/>
        </w:rPr>
      </w:pPr>
    </w:p>
    <w:p>
      <w:pPr>
        <w:jc w:val="center"/>
        <w:rPr>
          <w:rFonts w:ascii="宋体"/>
          <w:color w:val="000000" w:themeColor="text1"/>
          <w:sz w:val="44"/>
          <w:szCs w:val="44"/>
        </w:rPr>
      </w:pPr>
      <w:r>
        <w:rPr>
          <w:rFonts w:hint="eastAsia" w:ascii="宋体" w:hAnsi="宋体"/>
          <w:color w:val="000000" w:themeColor="text1"/>
          <w:sz w:val="44"/>
          <w:szCs w:val="44"/>
        </w:rPr>
        <w:t>投标文件</w:t>
      </w:r>
    </w:p>
    <w:p>
      <w:pPr>
        <w:rPr>
          <w:rFonts w:ascii="宋体"/>
          <w:color w:val="000000" w:themeColor="text1"/>
          <w:sz w:val="28"/>
          <w:szCs w:val="28"/>
        </w:rPr>
      </w:pPr>
    </w:p>
    <w:p>
      <w:pPr>
        <w:jc w:val="center"/>
        <w:rPr>
          <w:rFonts w:ascii="宋体"/>
          <w:color w:val="000000" w:themeColor="text1"/>
          <w:sz w:val="28"/>
          <w:szCs w:val="28"/>
        </w:rPr>
      </w:pPr>
    </w:p>
    <w:p>
      <w:pPr>
        <w:rPr>
          <w:rFonts w:ascii="宋体"/>
          <w:color w:val="000000" w:themeColor="text1"/>
          <w:sz w:val="28"/>
          <w:szCs w:val="28"/>
        </w:rPr>
      </w:pPr>
    </w:p>
    <w:p>
      <w:pPr>
        <w:rPr>
          <w:rFonts w:ascii="宋体"/>
          <w:color w:val="000000" w:themeColor="text1"/>
          <w:sz w:val="28"/>
          <w:szCs w:val="28"/>
        </w:rPr>
      </w:pPr>
    </w:p>
    <w:p>
      <w:pPr>
        <w:rPr>
          <w:rFonts w:ascii="宋体"/>
          <w:color w:val="000000" w:themeColor="text1"/>
          <w:sz w:val="28"/>
          <w:szCs w:val="28"/>
        </w:rPr>
      </w:pPr>
    </w:p>
    <w:p>
      <w:pPr>
        <w:rPr>
          <w:rFonts w:ascii="宋体"/>
          <w:color w:val="000000" w:themeColor="text1"/>
          <w:sz w:val="28"/>
          <w:szCs w:val="28"/>
        </w:rPr>
      </w:pPr>
    </w:p>
    <w:p>
      <w:pPr>
        <w:rPr>
          <w:rFonts w:ascii="宋体"/>
          <w:color w:val="000000" w:themeColor="text1"/>
          <w:sz w:val="28"/>
          <w:szCs w:val="28"/>
        </w:rPr>
      </w:pPr>
    </w:p>
    <w:p>
      <w:pPr>
        <w:ind w:firstLine="1120" w:firstLineChars="400"/>
        <w:rPr>
          <w:rFonts w:ascii="宋体"/>
          <w:color w:val="000000" w:themeColor="text1"/>
          <w:sz w:val="28"/>
          <w:szCs w:val="28"/>
          <w:u w:val="single"/>
        </w:rPr>
      </w:pPr>
      <w:r>
        <w:rPr>
          <w:rFonts w:hint="eastAsia" w:ascii="宋体" w:hAnsi="宋体"/>
          <w:color w:val="000000" w:themeColor="text1"/>
          <w:sz w:val="28"/>
          <w:szCs w:val="28"/>
        </w:rPr>
        <w:t>投标人：（盖单位章）</w:t>
      </w:r>
    </w:p>
    <w:p>
      <w:pPr>
        <w:ind w:firstLine="1120" w:firstLineChars="400"/>
        <w:rPr>
          <w:rFonts w:ascii="宋体"/>
          <w:color w:val="000000" w:themeColor="text1"/>
          <w:sz w:val="28"/>
          <w:szCs w:val="28"/>
        </w:rPr>
      </w:pPr>
      <w:r>
        <w:rPr>
          <w:rFonts w:hint="eastAsia" w:ascii="宋体" w:hAnsi="宋体"/>
          <w:color w:val="000000" w:themeColor="text1"/>
          <w:sz w:val="28"/>
          <w:szCs w:val="28"/>
        </w:rPr>
        <w:t>法定代表人或委托代理人：（签字或盖章）</w:t>
      </w:r>
    </w:p>
    <w:p>
      <w:pPr>
        <w:ind w:firstLine="1120" w:firstLineChars="400"/>
        <w:rPr>
          <w:rFonts w:ascii="宋体"/>
          <w:color w:val="000000" w:themeColor="text1"/>
          <w:sz w:val="28"/>
          <w:szCs w:val="28"/>
        </w:rPr>
      </w:pPr>
      <w:r>
        <w:rPr>
          <w:rFonts w:hint="eastAsia" w:ascii="宋体" w:hAnsi="宋体"/>
          <w:color w:val="000000" w:themeColor="text1"/>
          <w:sz w:val="28"/>
          <w:szCs w:val="28"/>
        </w:rPr>
        <w:t>日期：</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年</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月</w:t>
      </w:r>
      <w:r>
        <w:rPr>
          <w:rFonts w:hint="eastAsia" w:ascii="宋体" w:hAnsi="宋体"/>
          <w:color w:val="000000" w:themeColor="text1"/>
          <w:sz w:val="28"/>
          <w:szCs w:val="28"/>
          <w:lang w:val="en-US" w:eastAsia="zh-CN"/>
        </w:rPr>
        <w:t xml:space="preserve">    </w:t>
      </w:r>
      <w:r>
        <w:rPr>
          <w:rFonts w:hint="eastAsia" w:ascii="宋体" w:hAnsi="宋体"/>
          <w:color w:val="000000" w:themeColor="text1"/>
          <w:sz w:val="28"/>
          <w:szCs w:val="28"/>
        </w:rPr>
        <w:t>日</w:t>
      </w:r>
    </w:p>
    <w:p>
      <w:pPr>
        <w:spacing w:line="440" w:lineRule="exact"/>
        <w:rPr>
          <w:rFonts w:ascii="宋体"/>
          <w:color w:val="000000" w:themeColor="text1"/>
          <w:sz w:val="20"/>
          <w:szCs w:val="20"/>
        </w:rPr>
      </w:pPr>
      <w:r>
        <w:rPr>
          <w:rFonts w:ascii="宋体"/>
          <w:color w:val="000000" w:themeColor="text1"/>
          <w:sz w:val="20"/>
          <w:szCs w:val="20"/>
        </w:rPr>
        <w:br w:type="page"/>
      </w:r>
    </w:p>
    <w:p>
      <w:pPr>
        <w:jc w:val="center"/>
        <w:rPr>
          <w:b/>
          <w:color w:val="000000" w:themeColor="text1"/>
          <w:sz w:val="28"/>
          <w:szCs w:val="28"/>
        </w:rPr>
      </w:pPr>
      <w:bookmarkStart w:id="330" w:name="_Toc179632807"/>
      <w:bookmarkStart w:id="331" w:name="_Toc246997098"/>
      <w:bookmarkStart w:id="332" w:name="_Toc144974856"/>
      <w:bookmarkStart w:id="333" w:name="_Toc152045787"/>
      <w:bookmarkStart w:id="334" w:name="_Toc152042576"/>
      <w:bookmarkStart w:id="335" w:name="_Toc296602601"/>
      <w:bookmarkStart w:id="336" w:name="_Toc246996355"/>
      <w:bookmarkStart w:id="337" w:name="_Toc247085873"/>
      <w:r>
        <w:rPr>
          <w:rFonts w:hint="eastAsia"/>
          <w:b/>
          <w:color w:val="000000" w:themeColor="text1"/>
          <w:sz w:val="28"/>
          <w:szCs w:val="28"/>
        </w:rPr>
        <w:t>目录</w:t>
      </w:r>
      <w:bookmarkEnd w:id="330"/>
      <w:bookmarkEnd w:id="331"/>
      <w:bookmarkEnd w:id="332"/>
      <w:bookmarkEnd w:id="333"/>
      <w:bookmarkEnd w:id="334"/>
      <w:bookmarkEnd w:id="335"/>
      <w:bookmarkEnd w:id="336"/>
      <w:bookmarkEnd w:id="337"/>
    </w:p>
    <w:p>
      <w:pPr>
        <w:spacing w:line="600" w:lineRule="exact"/>
        <w:ind w:firstLine="1619" w:firstLineChars="771"/>
        <w:rPr>
          <w:rFonts w:ascii="宋体"/>
          <w:color w:val="000000" w:themeColor="text1"/>
          <w:szCs w:val="21"/>
        </w:rPr>
      </w:pPr>
    </w:p>
    <w:p>
      <w:pPr>
        <w:spacing w:line="480" w:lineRule="auto"/>
        <w:rPr>
          <w:rFonts w:ascii="宋体" w:cs="宋体"/>
          <w:color w:val="000000" w:themeColor="text1"/>
          <w:sz w:val="24"/>
        </w:rPr>
      </w:pPr>
      <w:r>
        <w:rPr>
          <w:rFonts w:hint="eastAsia" w:ascii="宋体" w:hAnsi="宋体" w:cs="宋体"/>
          <w:bCs/>
          <w:color w:val="000000" w:themeColor="text1"/>
          <w:sz w:val="24"/>
        </w:rPr>
        <w:t>一、投标函及投标函附录</w:t>
      </w:r>
    </w:p>
    <w:p>
      <w:pPr>
        <w:spacing w:line="480" w:lineRule="auto"/>
        <w:rPr>
          <w:rFonts w:ascii="宋体" w:cs="宋体"/>
          <w:bCs/>
          <w:color w:val="000000" w:themeColor="text1"/>
          <w:sz w:val="24"/>
        </w:rPr>
      </w:pPr>
      <w:r>
        <w:rPr>
          <w:rFonts w:hint="eastAsia" w:ascii="宋体" w:hAnsi="宋体" w:cs="宋体"/>
          <w:color w:val="000000" w:themeColor="text1"/>
          <w:sz w:val="24"/>
        </w:rPr>
        <w:t>二、分项报价表</w:t>
      </w:r>
    </w:p>
    <w:p>
      <w:pPr>
        <w:spacing w:line="480" w:lineRule="auto"/>
        <w:rPr>
          <w:rFonts w:ascii="宋体" w:cs="宋体"/>
          <w:color w:val="000000" w:themeColor="text1"/>
          <w:sz w:val="24"/>
        </w:rPr>
      </w:pPr>
      <w:r>
        <w:rPr>
          <w:rFonts w:hint="eastAsia" w:ascii="宋体" w:hAnsi="宋体" w:cs="宋体"/>
          <w:color w:val="000000" w:themeColor="text1"/>
          <w:sz w:val="24"/>
        </w:rPr>
        <w:t>三、</w:t>
      </w:r>
      <w:r>
        <w:rPr>
          <w:rFonts w:hint="eastAsia" w:ascii="宋体" w:hAnsi="宋体" w:cs="宋体"/>
          <w:bCs/>
          <w:color w:val="000000" w:themeColor="text1"/>
          <w:sz w:val="24"/>
        </w:rPr>
        <w:t>法定代表人身份证明或法定代表人授权委托书</w:t>
      </w:r>
    </w:p>
    <w:p>
      <w:pPr>
        <w:spacing w:line="480" w:lineRule="auto"/>
        <w:rPr>
          <w:rFonts w:ascii="宋体" w:cs="宋体"/>
          <w:color w:val="000000" w:themeColor="text1"/>
          <w:sz w:val="24"/>
        </w:rPr>
      </w:pPr>
      <w:r>
        <w:rPr>
          <w:rFonts w:hint="eastAsia" w:ascii="宋体" w:hAnsi="宋体" w:cs="宋体"/>
          <w:color w:val="000000" w:themeColor="text1"/>
          <w:sz w:val="24"/>
        </w:rPr>
        <w:t>四、技术条款偏离表</w:t>
      </w:r>
    </w:p>
    <w:p>
      <w:pPr>
        <w:spacing w:line="480" w:lineRule="auto"/>
        <w:rPr>
          <w:rFonts w:ascii="宋体" w:cs="宋体"/>
          <w:color w:val="000000" w:themeColor="text1"/>
          <w:sz w:val="24"/>
        </w:rPr>
      </w:pPr>
      <w:r>
        <w:rPr>
          <w:rFonts w:hint="eastAsia" w:ascii="宋体" w:hAnsi="宋体" w:cs="宋体"/>
          <w:color w:val="000000" w:themeColor="text1"/>
          <w:sz w:val="24"/>
        </w:rPr>
        <w:t>五、所投货物技术文件</w:t>
      </w:r>
    </w:p>
    <w:p>
      <w:pPr>
        <w:spacing w:line="480" w:lineRule="auto"/>
        <w:rPr>
          <w:rFonts w:ascii="宋体" w:cs="宋体"/>
          <w:color w:val="000000" w:themeColor="text1"/>
          <w:sz w:val="24"/>
        </w:rPr>
      </w:pPr>
      <w:r>
        <w:rPr>
          <w:rFonts w:hint="eastAsia" w:ascii="宋体" w:hAnsi="宋体" w:cs="宋体"/>
          <w:color w:val="000000" w:themeColor="text1"/>
          <w:sz w:val="24"/>
        </w:rPr>
        <w:t>六、优惠承诺</w:t>
      </w:r>
    </w:p>
    <w:p>
      <w:pPr>
        <w:spacing w:line="480" w:lineRule="auto"/>
        <w:ind w:right="-20"/>
        <w:rPr>
          <w:rFonts w:ascii="宋体" w:cs="宋体"/>
          <w:color w:val="000000" w:themeColor="text1"/>
          <w:sz w:val="24"/>
        </w:rPr>
      </w:pPr>
      <w:r>
        <w:rPr>
          <w:rFonts w:hint="eastAsia" w:ascii="宋体" w:hAnsi="宋体" w:cs="宋体"/>
          <w:bCs/>
          <w:color w:val="000000" w:themeColor="text1"/>
          <w:sz w:val="24"/>
        </w:rPr>
        <w:t>七、售后服务与技术培训</w:t>
      </w:r>
    </w:p>
    <w:p>
      <w:pPr>
        <w:spacing w:line="480" w:lineRule="auto"/>
        <w:ind w:right="-20"/>
        <w:rPr>
          <w:rFonts w:ascii="宋体" w:cs="宋体"/>
          <w:bCs/>
          <w:color w:val="000000" w:themeColor="text1"/>
          <w:sz w:val="24"/>
        </w:rPr>
      </w:pPr>
      <w:r>
        <w:rPr>
          <w:rFonts w:hint="eastAsia" w:ascii="宋体" w:hAnsi="宋体" w:cs="宋体"/>
          <w:bCs/>
          <w:color w:val="000000" w:themeColor="text1"/>
          <w:sz w:val="24"/>
        </w:rPr>
        <w:t>八、综合材料</w:t>
      </w:r>
    </w:p>
    <w:p>
      <w:pPr>
        <w:spacing w:line="480" w:lineRule="auto"/>
        <w:ind w:right="-20"/>
        <w:rPr>
          <w:rFonts w:ascii="宋体" w:hAnsi="宋体" w:cs="宋体"/>
          <w:bCs/>
          <w:color w:val="000000" w:themeColor="text1"/>
          <w:sz w:val="24"/>
        </w:rPr>
      </w:pPr>
      <w:r>
        <w:rPr>
          <w:rFonts w:hint="eastAsia" w:ascii="宋体" w:hAnsi="宋体" w:cs="宋体"/>
          <w:bCs/>
          <w:color w:val="000000" w:themeColor="text1"/>
          <w:sz w:val="24"/>
        </w:rPr>
        <w:t>九、投标保证金</w:t>
      </w:r>
    </w:p>
    <w:p>
      <w:pPr>
        <w:spacing w:line="480" w:lineRule="auto"/>
        <w:ind w:right="-20"/>
        <w:rPr>
          <w:rFonts w:ascii="宋体" w:cs="宋体"/>
          <w:bCs/>
          <w:color w:val="000000" w:themeColor="text1"/>
          <w:sz w:val="24"/>
        </w:rPr>
      </w:pPr>
      <w:r>
        <w:rPr>
          <w:rFonts w:hint="eastAsia" w:ascii="宋体" w:hAnsi="宋体" w:cs="宋体"/>
          <w:bCs/>
          <w:color w:val="000000" w:themeColor="text1"/>
          <w:sz w:val="24"/>
        </w:rPr>
        <w:t>十、其他材料</w:t>
      </w:r>
    </w:p>
    <w:p>
      <w:pPr>
        <w:spacing w:line="600" w:lineRule="exact"/>
        <w:ind w:firstLine="1619" w:firstLineChars="771"/>
        <w:rPr>
          <w:rFonts w:ascii="宋体"/>
          <w:color w:val="000000" w:themeColor="text1"/>
          <w:szCs w:val="21"/>
        </w:rPr>
      </w:pPr>
    </w:p>
    <w:p>
      <w:pPr>
        <w:spacing w:line="600" w:lineRule="exact"/>
        <w:ind w:firstLine="1619" w:firstLineChars="771"/>
        <w:rPr>
          <w:rFonts w:ascii="宋体"/>
          <w:color w:val="000000" w:themeColor="text1"/>
          <w:szCs w:val="2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5"/>
        <w:rPr>
          <w:color w:val="000000" w:themeColor="text1"/>
        </w:rPr>
      </w:pPr>
    </w:p>
    <w:p>
      <w:pPr>
        <w:pStyle w:val="5"/>
        <w:rPr>
          <w:color w:val="000000" w:themeColor="text1"/>
        </w:rPr>
      </w:pPr>
    </w:p>
    <w:p>
      <w:pPr>
        <w:pStyle w:val="5"/>
        <w:rPr>
          <w:color w:val="000000" w:themeColor="text1"/>
        </w:rPr>
      </w:pPr>
    </w:p>
    <w:p>
      <w:pPr>
        <w:pStyle w:val="5"/>
        <w:rPr>
          <w:color w:val="000000" w:themeColor="text1"/>
        </w:rPr>
      </w:pPr>
    </w:p>
    <w:p>
      <w:pPr>
        <w:rPr>
          <w:color w:val="000000" w:themeColor="text1"/>
        </w:rPr>
      </w:pPr>
    </w:p>
    <w:p>
      <w:pPr>
        <w:jc w:val="center"/>
        <w:rPr>
          <w:b/>
          <w:color w:val="000000" w:themeColor="text1"/>
          <w:sz w:val="28"/>
          <w:szCs w:val="28"/>
        </w:rPr>
      </w:pPr>
      <w:r>
        <w:rPr>
          <w:rFonts w:hint="eastAsia"/>
          <w:b/>
          <w:color w:val="000000" w:themeColor="text1"/>
          <w:sz w:val="28"/>
          <w:szCs w:val="28"/>
        </w:rPr>
        <w:t>一、投标函及投标函附录</w:t>
      </w:r>
    </w:p>
    <w:p>
      <w:pPr>
        <w:jc w:val="center"/>
        <w:rPr>
          <w:b/>
          <w:color w:val="000000" w:themeColor="text1"/>
          <w:sz w:val="28"/>
          <w:szCs w:val="28"/>
        </w:rPr>
      </w:pPr>
      <w:bookmarkStart w:id="338" w:name="_Toc247085875"/>
      <w:bookmarkStart w:id="339" w:name="_Toc152045789"/>
      <w:bookmarkStart w:id="340" w:name="_Toc179632809"/>
      <w:bookmarkStart w:id="341" w:name="_Toc296602603"/>
      <w:bookmarkStart w:id="342" w:name="_Toc152042578"/>
      <w:bookmarkStart w:id="343" w:name="_Toc246996357"/>
      <w:bookmarkStart w:id="344" w:name="_Toc246997100"/>
      <w:bookmarkStart w:id="345" w:name="_Toc144974858"/>
      <w:r>
        <w:rPr>
          <w:rFonts w:hint="eastAsia"/>
          <w:b/>
          <w:color w:val="000000" w:themeColor="text1"/>
          <w:sz w:val="28"/>
          <w:szCs w:val="28"/>
        </w:rPr>
        <w:t>（一）投标函</w:t>
      </w:r>
      <w:bookmarkEnd w:id="338"/>
      <w:bookmarkEnd w:id="339"/>
      <w:bookmarkEnd w:id="340"/>
      <w:bookmarkEnd w:id="341"/>
      <w:bookmarkEnd w:id="342"/>
      <w:bookmarkEnd w:id="343"/>
      <w:bookmarkEnd w:id="344"/>
      <w:bookmarkEnd w:id="345"/>
    </w:p>
    <w:p>
      <w:pPr>
        <w:spacing w:line="520" w:lineRule="exact"/>
        <w:ind w:left="69" w:leftChars="33"/>
        <w:rPr>
          <w:rFonts w:ascii="宋体" w:cs="宋体"/>
          <w:color w:val="000000" w:themeColor="text1"/>
          <w:szCs w:val="21"/>
        </w:rPr>
      </w:pPr>
      <w:r>
        <w:rPr>
          <w:rFonts w:hint="eastAsia" w:ascii="宋体" w:hAnsi="宋体" w:cs="宋体"/>
          <w:color w:val="000000" w:themeColor="text1"/>
          <w:szCs w:val="21"/>
        </w:rPr>
        <w:t>致：</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采购人</w:t>
      </w:r>
      <w:r>
        <w:rPr>
          <w:rFonts w:ascii="宋体" w:hAnsi="宋体" w:cs="宋体"/>
          <w:color w:val="000000" w:themeColor="text1"/>
          <w:szCs w:val="21"/>
          <w:u w:val="single"/>
        </w:rPr>
        <w:t xml:space="preserve">)      </w:t>
      </w:r>
    </w:p>
    <w:p>
      <w:pPr>
        <w:spacing w:line="520" w:lineRule="exact"/>
        <w:ind w:firstLine="420" w:firstLineChars="200"/>
        <w:rPr>
          <w:rFonts w:ascii="宋体" w:cs="宋体"/>
          <w:color w:val="000000" w:themeColor="text1"/>
          <w:szCs w:val="21"/>
        </w:rPr>
      </w:pPr>
      <w:r>
        <w:rPr>
          <w:rFonts w:hint="eastAsia" w:ascii="宋体" w:hAnsi="宋体" w:cs="宋体"/>
          <w:color w:val="000000" w:themeColor="text1"/>
          <w:szCs w:val="21"/>
        </w:rPr>
        <w:t>我们收到了采购编号的招标文件，经详细研究，我们决定参加项目的投标活动，我们郑重声明以下诸点并负法律责任。</w:t>
      </w:r>
    </w:p>
    <w:p>
      <w:pPr>
        <w:numPr>
          <w:ilvl w:val="0"/>
          <w:numId w:val="3"/>
        </w:numPr>
        <w:spacing w:line="520" w:lineRule="exact"/>
        <w:ind w:left="0" w:firstLine="598" w:firstLineChars="285"/>
        <w:rPr>
          <w:rFonts w:ascii="宋体" w:cs="宋体"/>
          <w:color w:val="000000" w:themeColor="text1"/>
          <w:szCs w:val="21"/>
        </w:rPr>
      </w:pPr>
      <w:r>
        <w:rPr>
          <w:rFonts w:hint="eastAsia" w:ascii="宋体" w:hAnsi="宋体" w:cs="宋体"/>
          <w:color w:val="000000" w:themeColor="text1"/>
          <w:szCs w:val="21"/>
        </w:rPr>
        <w:t>按照招标文件中规定的条款和要求，投标报价为大写：</w:t>
      </w:r>
      <w:r>
        <w:rPr>
          <w:rFonts w:ascii="宋体" w:hAnsi="宋体" w:cs="宋体"/>
          <w:color w:val="000000" w:themeColor="text1"/>
          <w:szCs w:val="21"/>
          <w:u w:val="single"/>
        </w:rPr>
        <w:t xml:space="preserve">    </w:t>
      </w:r>
      <w:r>
        <w:rPr>
          <w:rFonts w:hint="eastAsia" w:ascii="宋体" w:hAnsi="宋体" w:cs="宋体"/>
          <w:color w:val="000000" w:themeColor="text1"/>
          <w:szCs w:val="21"/>
        </w:rPr>
        <w:t xml:space="preserve"> 元（￥：</w:t>
      </w:r>
      <w:r>
        <w:rPr>
          <w:rFonts w:ascii="宋体" w:hAnsi="宋体" w:cs="宋体"/>
          <w:color w:val="000000" w:themeColor="text1"/>
          <w:szCs w:val="21"/>
          <w:u w:val="single"/>
        </w:rPr>
        <w:t xml:space="preserve">    </w:t>
      </w:r>
      <w:r>
        <w:rPr>
          <w:rFonts w:hint="eastAsia" w:ascii="宋体" w:hAnsi="宋体" w:cs="宋体"/>
          <w:color w:val="000000" w:themeColor="text1"/>
          <w:szCs w:val="21"/>
        </w:rPr>
        <w:t>元），质量：</w:t>
      </w:r>
      <w:r>
        <w:rPr>
          <w:rFonts w:ascii="宋体" w:hAnsi="宋体" w:cs="宋体"/>
          <w:color w:val="000000" w:themeColor="text1"/>
          <w:szCs w:val="21"/>
          <w:u w:val="single"/>
        </w:rPr>
        <w:t xml:space="preserve">    </w:t>
      </w:r>
      <w:r>
        <w:rPr>
          <w:rFonts w:hint="eastAsia" w:ascii="宋体" w:hAnsi="宋体" w:cs="宋体"/>
          <w:color w:val="000000" w:themeColor="text1"/>
          <w:szCs w:val="21"/>
        </w:rPr>
        <w:t>，供货期</w:t>
      </w:r>
      <w:r>
        <w:rPr>
          <w:rFonts w:hint="eastAsia" w:ascii="宋体" w:hAnsi="宋体" w:cs="宋体"/>
          <w:color w:val="000000" w:themeColor="text1"/>
          <w:szCs w:val="21"/>
          <w:lang w:eastAsia="zh-CN"/>
        </w:rPr>
        <w:t>：</w:t>
      </w:r>
      <w:r>
        <w:rPr>
          <w:rFonts w:ascii="宋体" w:hAnsi="宋体" w:cs="宋体"/>
          <w:color w:val="000000" w:themeColor="text1"/>
          <w:szCs w:val="21"/>
          <w:u w:val="single"/>
        </w:rPr>
        <w:t xml:space="preserve">    </w:t>
      </w:r>
      <w:r>
        <w:rPr>
          <w:rFonts w:hint="eastAsia" w:ascii="宋体" w:hAnsi="宋体" w:cs="宋体"/>
          <w:color w:val="000000" w:themeColor="text1"/>
          <w:szCs w:val="21"/>
        </w:rPr>
        <w:t>。</w:t>
      </w:r>
    </w:p>
    <w:p>
      <w:pPr>
        <w:spacing w:line="520" w:lineRule="exact"/>
        <w:ind w:firstLine="420" w:firstLineChars="200"/>
        <w:rPr>
          <w:rFonts w:ascii="宋体" w:cs="宋体"/>
          <w:color w:val="000000" w:themeColor="text1"/>
          <w:szCs w:val="21"/>
        </w:rPr>
      </w:pPr>
      <w:r>
        <w:rPr>
          <w:rFonts w:ascii="宋体" w:hAnsi="宋体" w:cs="宋体"/>
          <w:color w:val="000000" w:themeColor="text1"/>
          <w:szCs w:val="21"/>
        </w:rPr>
        <w:t>(2)</w:t>
      </w:r>
      <w:r>
        <w:rPr>
          <w:rFonts w:hint="eastAsia" w:ascii="宋体" w:hAnsi="宋体" w:cs="宋体"/>
          <w:color w:val="000000" w:themeColor="text1"/>
          <w:szCs w:val="21"/>
        </w:rPr>
        <w:t>如果我们的投标文件被接受，我们将履行招标文件中规定的各项要求。</w:t>
      </w:r>
    </w:p>
    <w:p>
      <w:pPr>
        <w:spacing w:line="520" w:lineRule="exact"/>
        <w:ind w:firstLine="420" w:firstLineChars="200"/>
        <w:rPr>
          <w:rFonts w:asci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我们同意按招标文件中的规定，本投标文件的有效期为开标后</w:t>
      </w:r>
      <w:r>
        <w:rPr>
          <w:rFonts w:hint="eastAsia" w:ascii="宋体" w:hAnsi="宋体" w:cs="宋体"/>
          <w:color w:val="000000" w:themeColor="text1"/>
          <w:szCs w:val="21"/>
          <w:u w:val="single"/>
        </w:rPr>
        <w:t>60</w:t>
      </w:r>
      <w:r>
        <w:rPr>
          <w:rFonts w:hint="eastAsia" w:ascii="宋体" w:hAnsi="宋体" w:cs="宋体"/>
          <w:color w:val="000000" w:themeColor="text1"/>
          <w:szCs w:val="21"/>
        </w:rPr>
        <w:t>日历天。如果中标，有效期延长至合同终止日止。</w:t>
      </w:r>
    </w:p>
    <w:p>
      <w:pPr>
        <w:spacing w:line="520" w:lineRule="exact"/>
        <w:ind w:firstLine="420" w:firstLineChars="200"/>
        <w:rPr>
          <w:rFonts w:asci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我们愿提供招标文件中要求的所有文件资料。</w:t>
      </w:r>
    </w:p>
    <w:p>
      <w:pPr>
        <w:spacing w:line="520" w:lineRule="exact"/>
        <w:ind w:firstLine="420" w:firstLineChars="200"/>
        <w:rPr>
          <w:rFonts w:asci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我们已经详细审核了全部招标文件，包括修改、补充的文件（如果存在），我们完全理解并同意放弃对这方面有不明及误解的权利。</w:t>
      </w:r>
    </w:p>
    <w:p>
      <w:pPr>
        <w:spacing w:line="520" w:lineRule="exact"/>
        <w:ind w:firstLine="420"/>
        <w:rPr>
          <w:rFonts w:ascii="宋体" w:cs="宋体"/>
          <w:color w:val="000000" w:themeColor="text1"/>
          <w:szCs w:val="21"/>
        </w:rPr>
      </w:pPr>
      <w:r>
        <w:rPr>
          <w:rFonts w:ascii="宋体" w:hAnsi="宋体" w:cs="宋体"/>
          <w:color w:val="000000" w:themeColor="text1"/>
          <w:szCs w:val="21"/>
        </w:rPr>
        <w:t>(6)</w:t>
      </w:r>
      <w:r>
        <w:rPr>
          <w:rFonts w:hint="eastAsia" w:ascii="宋体" w:hAnsi="宋体" w:cs="宋体"/>
          <w:color w:val="000000" w:themeColor="text1"/>
          <w:szCs w:val="21"/>
        </w:rPr>
        <w:t>我们愿按《中华人民共和国合同法》履行自己的全部责任。</w:t>
      </w:r>
    </w:p>
    <w:p>
      <w:pPr>
        <w:spacing w:line="520" w:lineRule="exact"/>
        <w:ind w:firstLine="420" w:firstLineChars="200"/>
        <w:rPr>
          <w:rFonts w:ascii="宋体" w:cs="宋体"/>
          <w:color w:val="000000" w:themeColor="text1"/>
          <w:szCs w:val="21"/>
          <w:u w:val="single"/>
        </w:rPr>
      </w:pPr>
      <w:r>
        <w:rPr>
          <w:rFonts w:ascii="宋体" w:hAnsi="宋体" w:cs="宋体"/>
          <w:color w:val="000000" w:themeColor="text1"/>
          <w:szCs w:val="21"/>
        </w:rPr>
        <w:t>(7)</w:t>
      </w:r>
      <w:r>
        <w:rPr>
          <w:rFonts w:hint="eastAsia" w:ascii="宋体" w:hAnsi="宋体" w:cs="宋体"/>
          <w:color w:val="000000" w:themeColor="text1"/>
          <w:szCs w:val="21"/>
        </w:rPr>
        <w:t>与本投标有关的正式通讯地址：</w:t>
      </w:r>
    </w:p>
    <w:p>
      <w:pPr>
        <w:spacing w:line="520" w:lineRule="exact"/>
        <w:rPr>
          <w:rFonts w:ascii="宋体" w:cs="宋体"/>
          <w:color w:val="000000" w:themeColor="text1"/>
          <w:szCs w:val="21"/>
        </w:rPr>
      </w:pPr>
    </w:p>
    <w:p>
      <w:pPr>
        <w:spacing w:line="480" w:lineRule="exact"/>
        <w:rPr>
          <w:rFonts w:ascii="宋体" w:hAnsi="宋体" w:cs="宋体"/>
          <w:color w:val="000000" w:themeColor="text1"/>
          <w:szCs w:val="21"/>
        </w:rPr>
      </w:pPr>
      <w:r>
        <w:rPr>
          <w:rFonts w:hint="eastAsia" w:ascii="宋体" w:hAnsi="宋体" w:cs="宋体"/>
          <w:color w:val="000000" w:themeColor="text1"/>
          <w:szCs w:val="21"/>
        </w:rPr>
        <w:t>投标人名称：</w:t>
      </w:r>
      <w:r>
        <w:rPr>
          <w:rFonts w:ascii="宋体" w:hAnsi="宋体" w:cs="宋体"/>
          <w:color w:val="000000" w:themeColor="text1"/>
          <w:szCs w:val="21"/>
          <w:u w:val="single"/>
        </w:rPr>
        <w:t xml:space="preserve">    </w:t>
      </w:r>
      <w:r>
        <w:rPr>
          <w:rFonts w:hint="eastAsia" w:ascii="宋体" w:hAnsi="宋体" w:cs="宋体"/>
          <w:color w:val="000000" w:themeColor="text1"/>
          <w:szCs w:val="21"/>
        </w:rPr>
        <w:t>（盖单位公章）</w:t>
      </w:r>
    </w:p>
    <w:p>
      <w:pPr>
        <w:spacing w:line="480" w:lineRule="exact"/>
        <w:rPr>
          <w:rFonts w:ascii="宋体" w:cs="宋体"/>
          <w:color w:val="000000" w:themeColor="text1"/>
          <w:sz w:val="24"/>
        </w:rPr>
      </w:pPr>
      <w:r>
        <w:rPr>
          <w:rFonts w:hint="eastAsia" w:ascii="宋体" w:hAnsi="宋体" w:cs="宋体"/>
          <w:color w:val="000000" w:themeColor="text1"/>
          <w:szCs w:val="21"/>
        </w:rPr>
        <w:t>法定代表人或其委托代理人：</w:t>
      </w:r>
      <w:r>
        <w:rPr>
          <w:rFonts w:ascii="宋体" w:hAnsi="宋体" w:cs="宋体"/>
          <w:color w:val="000000" w:themeColor="text1"/>
          <w:szCs w:val="21"/>
          <w:u w:val="single"/>
        </w:rPr>
        <w:t xml:space="preserve">    </w:t>
      </w:r>
      <w:r>
        <w:rPr>
          <w:rFonts w:hint="eastAsia" w:ascii="宋体" w:hAnsi="宋体" w:cs="宋体"/>
          <w:color w:val="000000" w:themeColor="text1"/>
          <w:szCs w:val="21"/>
        </w:rPr>
        <w:t>（签字或盖章）</w:t>
      </w:r>
    </w:p>
    <w:p>
      <w:pPr>
        <w:spacing w:line="480" w:lineRule="exact"/>
        <w:rPr>
          <w:rFonts w:ascii="宋体" w:hAnsi="宋体" w:cs="宋体"/>
          <w:color w:val="000000" w:themeColor="text1"/>
          <w:szCs w:val="21"/>
        </w:rPr>
      </w:pPr>
      <w:r>
        <w:rPr>
          <w:rFonts w:hint="eastAsia" w:ascii="宋体" w:hAnsi="宋体" w:cs="宋体"/>
          <w:color w:val="000000" w:themeColor="text1"/>
          <w:szCs w:val="21"/>
        </w:rPr>
        <w:t>地址：</w:t>
      </w:r>
      <w:r>
        <w:rPr>
          <w:rFonts w:ascii="宋体" w:hAnsi="宋体" w:cs="宋体"/>
          <w:color w:val="000000" w:themeColor="text1"/>
          <w:szCs w:val="21"/>
          <w:u w:val="single"/>
        </w:rPr>
        <w:t xml:space="preserve">                                        </w:t>
      </w:r>
    </w:p>
    <w:p>
      <w:pPr>
        <w:spacing w:line="480" w:lineRule="exact"/>
        <w:rPr>
          <w:rFonts w:ascii="宋体" w:cs="宋体"/>
          <w:color w:val="000000" w:themeColor="text1"/>
          <w:szCs w:val="21"/>
        </w:rPr>
      </w:pPr>
      <w:r>
        <w:rPr>
          <w:rFonts w:hint="eastAsia" w:ascii="宋体" w:hAnsi="宋体" w:cs="宋体"/>
          <w:color w:val="000000" w:themeColor="text1"/>
          <w:szCs w:val="21"/>
        </w:rPr>
        <w:t>邮编：</w:t>
      </w:r>
      <w:r>
        <w:rPr>
          <w:rFonts w:ascii="宋体" w:hAnsi="宋体" w:cs="宋体"/>
          <w:color w:val="000000" w:themeColor="text1"/>
          <w:szCs w:val="21"/>
          <w:u w:val="single"/>
        </w:rPr>
        <w:t xml:space="preserve">                                        </w:t>
      </w:r>
    </w:p>
    <w:p>
      <w:pPr>
        <w:spacing w:line="480" w:lineRule="exact"/>
        <w:rPr>
          <w:rFonts w:ascii="宋体" w:hAnsi="宋体" w:cs="宋体"/>
          <w:color w:val="000000" w:themeColor="text1"/>
          <w:szCs w:val="21"/>
        </w:rPr>
      </w:pPr>
      <w:r>
        <w:rPr>
          <w:rFonts w:hint="eastAsia" w:ascii="宋体" w:hAnsi="宋体" w:cs="宋体"/>
          <w:color w:val="000000" w:themeColor="text1"/>
          <w:szCs w:val="21"/>
        </w:rPr>
        <w:t>电话：</w:t>
      </w:r>
      <w:r>
        <w:rPr>
          <w:rFonts w:ascii="宋体" w:hAnsi="宋体" w:cs="宋体"/>
          <w:color w:val="000000" w:themeColor="text1"/>
          <w:szCs w:val="21"/>
          <w:u w:val="single"/>
        </w:rPr>
        <w:t xml:space="preserve">                                        </w:t>
      </w:r>
    </w:p>
    <w:p>
      <w:pPr>
        <w:spacing w:line="480" w:lineRule="exact"/>
        <w:rPr>
          <w:rFonts w:ascii="宋体" w:cs="宋体"/>
          <w:color w:val="000000" w:themeColor="text1"/>
          <w:szCs w:val="21"/>
        </w:rPr>
      </w:pPr>
      <w:r>
        <w:rPr>
          <w:rFonts w:hint="eastAsia" w:ascii="宋体" w:hAnsi="宋体" w:cs="宋体"/>
          <w:color w:val="000000" w:themeColor="text1"/>
          <w:szCs w:val="21"/>
        </w:rPr>
        <w:t>传真：</w:t>
      </w:r>
      <w:r>
        <w:rPr>
          <w:rFonts w:ascii="宋体" w:hAnsi="宋体" w:cs="宋体"/>
          <w:color w:val="000000" w:themeColor="text1"/>
          <w:szCs w:val="21"/>
          <w:u w:val="single"/>
        </w:rPr>
        <w:t xml:space="preserve">                                        </w:t>
      </w:r>
    </w:p>
    <w:p>
      <w:pPr>
        <w:spacing w:line="440" w:lineRule="exact"/>
        <w:rPr>
          <w:rFonts w:ascii="宋体"/>
          <w:color w:val="000000" w:themeColor="text1"/>
          <w:szCs w:val="21"/>
        </w:rPr>
      </w:pPr>
      <w:r>
        <w:rPr>
          <w:rFonts w:hint="eastAsia" w:ascii="宋体"/>
          <w:color w:val="000000" w:themeColor="text1"/>
          <w:szCs w:val="21"/>
        </w:rPr>
        <w:t>日期：</w:t>
      </w:r>
      <w:r>
        <w:rPr>
          <w:rFonts w:ascii="宋体" w:hAnsi="宋体" w:cs="宋体"/>
          <w:color w:val="000000" w:themeColor="text1"/>
          <w:szCs w:val="21"/>
          <w:u w:val="single"/>
        </w:rPr>
        <w:t xml:space="preserve">                                        </w:t>
      </w:r>
    </w:p>
    <w:p>
      <w:pPr>
        <w:jc w:val="center"/>
        <w:rPr>
          <w:rFonts w:ascii="宋体"/>
          <w:color w:val="000000" w:themeColor="text1"/>
          <w:sz w:val="20"/>
          <w:szCs w:val="20"/>
        </w:rPr>
      </w:pPr>
    </w:p>
    <w:p>
      <w:pPr>
        <w:spacing w:line="440" w:lineRule="exact"/>
        <w:rPr>
          <w:rFonts w:ascii="宋体"/>
          <w:color w:val="000000" w:themeColor="text1"/>
          <w:sz w:val="20"/>
          <w:szCs w:val="20"/>
        </w:rPr>
      </w:pPr>
    </w:p>
    <w:p>
      <w:pPr>
        <w:jc w:val="center"/>
        <w:rPr>
          <w:rFonts w:ascii="宋体"/>
          <w:color w:val="000000" w:themeColor="text1"/>
          <w:sz w:val="20"/>
          <w:szCs w:val="20"/>
        </w:rPr>
      </w:pPr>
    </w:p>
    <w:p>
      <w:pPr>
        <w:jc w:val="center"/>
        <w:rPr>
          <w:rFonts w:ascii="宋体"/>
          <w:color w:val="000000" w:themeColor="text1"/>
        </w:rPr>
      </w:pPr>
    </w:p>
    <w:p>
      <w:pPr>
        <w:rPr>
          <w:color w:val="000000" w:themeColor="text1"/>
        </w:rPr>
      </w:pPr>
    </w:p>
    <w:p>
      <w:pPr>
        <w:jc w:val="center"/>
        <w:rPr>
          <w:rFonts w:ascii="Arial" w:hAnsi="Arial" w:eastAsia="黑体"/>
          <w:b/>
          <w:bCs/>
          <w:color w:val="000000" w:themeColor="text1"/>
          <w:sz w:val="32"/>
          <w:szCs w:val="32"/>
        </w:rPr>
      </w:pPr>
    </w:p>
    <w:p>
      <w:pPr>
        <w:jc w:val="center"/>
        <w:rPr>
          <w:b/>
          <w:color w:val="000000" w:themeColor="text1"/>
          <w:sz w:val="28"/>
          <w:szCs w:val="28"/>
        </w:rPr>
      </w:pPr>
      <w:r>
        <w:rPr>
          <w:rFonts w:hint="eastAsia"/>
          <w:b/>
          <w:color w:val="000000" w:themeColor="text1"/>
          <w:sz w:val="28"/>
          <w:szCs w:val="28"/>
        </w:rPr>
        <w:t>（二）投标函附录</w:t>
      </w:r>
    </w:p>
    <w:tbl>
      <w:tblPr>
        <w:tblStyle w:val="14"/>
        <w:tblW w:w="9042" w:type="dxa"/>
        <w:tblInd w:w="-108" w:type="dxa"/>
        <w:tblLayout w:type="fixed"/>
        <w:tblCellMar>
          <w:top w:w="0" w:type="dxa"/>
          <w:left w:w="10" w:type="dxa"/>
          <w:bottom w:w="0" w:type="dxa"/>
          <w:right w:w="10" w:type="dxa"/>
        </w:tblCellMar>
      </w:tblPr>
      <w:tblGrid>
        <w:gridCol w:w="3060"/>
        <w:gridCol w:w="5982"/>
      </w:tblGrid>
      <w:tr>
        <w:tblPrEx>
          <w:tblLayout w:type="fixed"/>
          <w:tblCellMar>
            <w:top w:w="0" w:type="dxa"/>
            <w:left w:w="10" w:type="dxa"/>
            <w:bottom w:w="0" w:type="dxa"/>
            <w:right w:w="10" w:type="dxa"/>
          </w:tblCellMar>
        </w:tblPrEx>
        <w:trPr>
          <w:trHeight w:val="1214"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color w:val="000000" w:themeColor="text1"/>
                <w:szCs w:val="21"/>
                <w:lang w:val="zh-CN"/>
              </w:rPr>
            </w:pPr>
            <w:r>
              <w:rPr>
                <w:rFonts w:hint="eastAsia" w:ascii="宋体" w:hAnsi="宋体" w:cs="宋体"/>
                <w:color w:val="000000" w:themeColor="text1"/>
                <w:szCs w:val="21"/>
                <w:lang w:val="zh-CN"/>
              </w:rPr>
              <w:t>项目名称</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35"/>
              <w:jc w:val="center"/>
              <w:rPr>
                <w:rFonts w:ascii="宋体"/>
                <w:color w:val="000000" w:themeColor="text1"/>
                <w:szCs w:val="21"/>
                <w:lang w:val="zh-CN"/>
              </w:rPr>
            </w:pPr>
          </w:p>
        </w:tc>
      </w:tr>
      <w:tr>
        <w:tblPrEx>
          <w:tblLayout w:type="fixed"/>
          <w:tblCellMar>
            <w:top w:w="0" w:type="dxa"/>
            <w:left w:w="10" w:type="dxa"/>
            <w:bottom w:w="0" w:type="dxa"/>
            <w:right w:w="10" w:type="dxa"/>
          </w:tblCellMar>
        </w:tblPrEx>
        <w:trPr>
          <w:trHeight w:val="1094"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cs="宋体"/>
                <w:color w:val="000000" w:themeColor="text1"/>
                <w:szCs w:val="21"/>
                <w:lang w:val="zh-CN"/>
              </w:rPr>
            </w:pPr>
            <w:r>
              <w:rPr>
                <w:rFonts w:hint="eastAsia" w:ascii="宋体" w:hAnsi="宋体" w:cs="宋体"/>
                <w:color w:val="000000" w:themeColor="text1"/>
                <w:szCs w:val="21"/>
                <w:lang w:val="zh-CN"/>
              </w:rPr>
              <w:t>投标单位</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35"/>
              <w:jc w:val="center"/>
              <w:rPr>
                <w:rFonts w:ascii="宋体"/>
                <w:color w:val="000000" w:themeColor="text1"/>
                <w:szCs w:val="21"/>
                <w:lang w:val="zh-CN"/>
              </w:rPr>
            </w:pPr>
          </w:p>
        </w:tc>
      </w:tr>
      <w:tr>
        <w:tblPrEx>
          <w:tblLayout w:type="fixed"/>
          <w:tblCellMar>
            <w:top w:w="0" w:type="dxa"/>
            <w:left w:w="10" w:type="dxa"/>
            <w:bottom w:w="0" w:type="dxa"/>
            <w:right w:w="10" w:type="dxa"/>
          </w:tblCellMar>
        </w:tblPrEx>
        <w:trPr>
          <w:trHeight w:val="1537"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color w:val="000000" w:themeColor="text1"/>
                <w:szCs w:val="21"/>
              </w:rPr>
            </w:pPr>
            <w:r>
              <w:rPr>
                <w:rFonts w:hint="eastAsia" w:ascii="宋体" w:hAnsi="宋体" w:cs="宋体"/>
                <w:color w:val="000000" w:themeColor="text1"/>
                <w:szCs w:val="21"/>
                <w:lang w:val="zh-CN"/>
              </w:rPr>
              <w:t>投标报价（元）</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37"/>
              <w:rPr>
                <w:rFonts w:ascii="宋体" w:hAnsi="宋体" w:cs="宋体"/>
                <w:color w:val="000000" w:themeColor="text1"/>
                <w:szCs w:val="21"/>
                <w:u w:val="single"/>
                <w:lang w:val="zh-CN"/>
              </w:rPr>
            </w:pPr>
            <w:r>
              <w:rPr>
                <w:rFonts w:hint="eastAsia" w:ascii="宋体" w:hAnsi="宋体" w:cs="宋体"/>
                <w:color w:val="000000" w:themeColor="text1"/>
                <w:szCs w:val="21"/>
                <w:lang w:val="zh-CN"/>
              </w:rPr>
              <w:t>大写：</w:t>
            </w:r>
          </w:p>
          <w:p>
            <w:pPr>
              <w:autoSpaceDE w:val="0"/>
              <w:autoSpaceDN w:val="0"/>
              <w:adjustRightInd w:val="0"/>
              <w:spacing w:line="360" w:lineRule="auto"/>
              <w:ind w:firstLine="437"/>
              <w:rPr>
                <w:rFonts w:ascii="宋体" w:cs="宋体"/>
                <w:color w:val="000000" w:themeColor="text1"/>
                <w:szCs w:val="21"/>
                <w:lang w:val="zh-CN"/>
              </w:rPr>
            </w:pPr>
            <w:r>
              <w:rPr>
                <w:rFonts w:hint="eastAsia" w:ascii="宋体" w:hAnsi="宋体" w:cs="宋体"/>
                <w:color w:val="000000" w:themeColor="text1"/>
                <w:szCs w:val="21"/>
                <w:lang w:val="zh-CN"/>
              </w:rPr>
              <w:t>小写：</w:t>
            </w:r>
          </w:p>
        </w:tc>
      </w:tr>
      <w:tr>
        <w:tblPrEx>
          <w:tblLayout w:type="fixed"/>
          <w:tblCellMar>
            <w:top w:w="0" w:type="dxa"/>
            <w:left w:w="10" w:type="dxa"/>
            <w:bottom w:w="0" w:type="dxa"/>
            <w:right w:w="10" w:type="dxa"/>
          </w:tblCellMar>
        </w:tblPrEx>
        <w:trPr>
          <w:trHeight w:val="1225"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color w:val="000000" w:themeColor="text1"/>
                <w:szCs w:val="21"/>
              </w:rPr>
            </w:pPr>
            <w:r>
              <w:rPr>
                <w:rFonts w:hint="eastAsia" w:ascii="宋体" w:hAnsi="宋体" w:cs="宋体"/>
                <w:color w:val="000000" w:themeColor="text1"/>
                <w:szCs w:val="21"/>
                <w:lang w:val="zh-CN"/>
              </w:rPr>
              <w:t>供货期</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35"/>
              <w:jc w:val="center"/>
              <w:rPr>
                <w:rFonts w:ascii="宋体"/>
                <w:color w:val="000000" w:themeColor="text1"/>
                <w:szCs w:val="21"/>
              </w:rPr>
            </w:pPr>
          </w:p>
        </w:tc>
      </w:tr>
      <w:tr>
        <w:tblPrEx>
          <w:tblLayout w:type="fixed"/>
          <w:tblCellMar>
            <w:top w:w="0" w:type="dxa"/>
            <w:left w:w="10" w:type="dxa"/>
            <w:bottom w:w="0" w:type="dxa"/>
            <w:right w:w="10" w:type="dxa"/>
          </w:tblCellMar>
        </w:tblPrEx>
        <w:trPr>
          <w:trHeight w:val="1262"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color w:val="000000" w:themeColor="text1"/>
                <w:szCs w:val="21"/>
              </w:rPr>
            </w:pPr>
            <w:r>
              <w:rPr>
                <w:rFonts w:hint="eastAsia" w:ascii="宋体" w:hAnsi="宋体" w:cs="宋体"/>
                <w:color w:val="000000" w:themeColor="text1"/>
                <w:szCs w:val="21"/>
                <w:lang w:val="zh-CN"/>
              </w:rPr>
              <w:t>质量要求</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010"/>
              <w:rPr>
                <w:rFonts w:ascii="宋体"/>
                <w:color w:val="000000" w:themeColor="text1"/>
                <w:szCs w:val="21"/>
                <w:lang w:val="zh-CN"/>
              </w:rPr>
            </w:pPr>
          </w:p>
        </w:tc>
      </w:tr>
      <w:tr>
        <w:tblPrEx>
          <w:tblLayout w:type="fixed"/>
          <w:tblCellMar>
            <w:top w:w="0" w:type="dxa"/>
            <w:left w:w="10" w:type="dxa"/>
            <w:bottom w:w="0" w:type="dxa"/>
            <w:right w:w="10" w:type="dxa"/>
          </w:tblCellMar>
        </w:tblPrEx>
        <w:trPr>
          <w:trHeight w:val="1262"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hAnsi="宋体" w:cs="宋体"/>
                <w:color w:val="000000" w:themeColor="text1"/>
                <w:szCs w:val="21"/>
                <w:lang w:val="zh-CN"/>
              </w:rPr>
            </w:pPr>
            <w:r>
              <w:rPr>
                <w:rFonts w:hint="eastAsia" w:ascii="宋体" w:hAnsi="宋体" w:cs="宋体"/>
                <w:color w:val="000000" w:themeColor="text1"/>
                <w:szCs w:val="21"/>
                <w:lang w:val="zh-CN"/>
              </w:rPr>
              <w:t>质保期</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010"/>
              <w:rPr>
                <w:rFonts w:ascii="宋体"/>
                <w:color w:val="000000" w:themeColor="text1"/>
                <w:szCs w:val="21"/>
                <w:lang w:val="zh-CN"/>
              </w:rPr>
            </w:pPr>
          </w:p>
        </w:tc>
      </w:tr>
      <w:tr>
        <w:tblPrEx>
          <w:tblLayout w:type="fixed"/>
          <w:tblCellMar>
            <w:top w:w="0" w:type="dxa"/>
            <w:left w:w="10" w:type="dxa"/>
            <w:bottom w:w="0" w:type="dxa"/>
            <w:right w:w="10" w:type="dxa"/>
          </w:tblCellMar>
        </w:tblPrEx>
        <w:trPr>
          <w:trHeight w:val="1262"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hAnsi="宋体" w:cs="宋体"/>
                <w:color w:val="000000" w:themeColor="text1"/>
                <w:szCs w:val="21"/>
                <w:lang w:val="zh-CN"/>
              </w:rPr>
            </w:pPr>
            <w:r>
              <w:rPr>
                <w:rFonts w:hint="eastAsia" w:ascii="宋体" w:hAnsi="宋体" w:cs="宋体"/>
                <w:color w:val="000000" w:themeColor="text1"/>
                <w:szCs w:val="21"/>
                <w:lang w:val="zh-CN"/>
              </w:rPr>
              <w:t>投标保证金</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010"/>
              <w:rPr>
                <w:rFonts w:ascii="宋体"/>
                <w:color w:val="000000" w:themeColor="text1"/>
                <w:szCs w:val="21"/>
                <w:lang w:val="zh-CN"/>
              </w:rPr>
            </w:pPr>
            <w:r>
              <w:rPr>
                <w:rFonts w:hint="eastAsia" w:ascii="宋体"/>
                <w:color w:val="000000" w:themeColor="text1"/>
                <w:szCs w:val="21"/>
                <w:lang w:val="zh-CN"/>
              </w:rPr>
              <w:t>已缴纳</w:t>
            </w:r>
          </w:p>
        </w:tc>
      </w:tr>
      <w:tr>
        <w:tblPrEx>
          <w:tblLayout w:type="fixed"/>
          <w:tblCellMar>
            <w:top w:w="0" w:type="dxa"/>
            <w:left w:w="10" w:type="dxa"/>
            <w:bottom w:w="0" w:type="dxa"/>
            <w:right w:w="10" w:type="dxa"/>
          </w:tblCellMar>
        </w:tblPrEx>
        <w:trPr>
          <w:trHeight w:val="1262" w:hRule="atLeast"/>
        </w:trPr>
        <w:tc>
          <w:tcPr>
            <w:tcW w:w="30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315"/>
              <w:jc w:val="center"/>
              <w:rPr>
                <w:rFonts w:ascii="宋体" w:hAnsi="宋体" w:cs="宋体"/>
                <w:color w:val="000000" w:themeColor="text1"/>
                <w:szCs w:val="21"/>
                <w:lang w:val="zh-CN"/>
              </w:rPr>
            </w:pPr>
            <w:r>
              <w:rPr>
                <w:rFonts w:hint="eastAsia" w:ascii="宋体" w:hAnsi="宋体" w:cs="宋体"/>
                <w:color w:val="000000" w:themeColor="text1"/>
                <w:szCs w:val="21"/>
                <w:lang w:val="zh-CN"/>
              </w:rPr>
              <w:t>备注</w:t>
            </w:r>
          </w:p>
        </w:tc>
        <w:tc>
          <w:tcPr>
            <w:tcW w:w="59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010"/>
              <w:rPr>
                <w:rFonts w:ascii="宋体"/>
                <w:color w:val="000000" w:themeColor="text1"/>
                <w:szCs w:val="21"/>
                <w:lang w:val="zh-CN"/>
              </w:rPr>
            </w:pPr>
          </w:p>
        </w:tc>
      </w:tr>
    </w:tbl>
    <w:p>
      <w:pPr>
        <w:spacing w:line="360" w:lineRule="auto"/>
        <w:rPr>
          <w:rFonts w:ascii="宋体"/>
          <w:color w:val="000000" w:themeColor="text1"/>
          <w:sz w:val="24"/>
        </w:rPr>
      </w:pPr>
    </w:p>
    <w:p>
      <w:pPr>
        <w:spacing w:line="360" w:lineRule="auto"/>
        <w:jc w:val="right"/>
        <w:rPr>
          <w:rFonts w:ascii="宋体"/>
          <w:color w:val="000000" w:themeColor="text1"/>
          <w:szCs w:val="21"/>
        </w:rPr>
      </w:pPr>
      <w:r>
        <w:rPr>
          <w:rFonts w:hint="eastAsia" w:ascii="宋体" w:hAnsi="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olor w:val="000000" w:themeColor="text1"/>
          <w:szCs w:val="21"/>
        </w:rPr>
        <w:t>（盖单位章）</w:t>
      </w:r>
    </w:p>
    <w:p>
      <w:pPr>
        <w:spacing w:line="360" w:lineRule="auto"/>
        <w:jc w:val="right"/>
        <w:rPr>
          <w:rFonts w:ascii="宋体"/>
          <w:color w:val="000000" w:themeColor="text1"/>
          <w:szCs w:val="21"/>
        </w:rPr>
      </w:pPr>
      <w:r>
        <w:rPr>
          <w:rFonts w:hint="eastAsia" w:ascii="宋体" w:hAnsi="宋体"/>
          <w:color w:val="000000" w:themeColor="text1"/>
          <w:szCs w:val="21"/>
        </w:rPr>
        <w:t>法定代表人或其委托代理人：</w:t>
      </w:r>
      <w:r>
        <w:rPr>
          <w:rFonts w:ascii="宋体" w:hAnsi="宋体" w:cs="宋体"/>
          <w:color w:val="000000" w:themeColor="text1"/>
          <w:szCs w:val="21"/>
          <w:u w:val="single"/>
        </w:rPr>
        <w:t xml:space="preserve">                     </w:t>
      </w:r>
      <w:r>
        <w:rPr>
          <w:rFonts w:hint="eastAsia" w:ascii="宋体" w:hAnsi="宋体"/>
          <w:color w:val="000000" w:themeColor="text1"/>
          <w:szCs w:val="21"/>
        </w:rPr>
        <w:t>（签字或盖章）</w:t>
      </w:r>
    </w:p>
    <w:p>
      <w:pPr>
        <w:spacing w:line="360" w:lineRule="auto"/>
        <w:jc w:val="right"/>
        <w:rPr>
          <w:rFonts w:ascii="宋体"/>
          <w:color w:val="000000" w:themeColor="text1"/>
          <w:szCs w:val="21"/>
        </w:rPr>
      </w:pPr>
    </w:p>
    <w:p>
      <w:pPr>
        <w:spacing w:line="360" w:lineRule="auto"/>
        <w:jc w:val="right"/>
        <w:rPr>
          <w:rFonts w:ascii="宋体"/>
          <w:color w:val="000000" w:themeColor="text1"/>
          <w:szCs w:val="21"/>
        </w:rPr>
      </w:pPr>
      <w:r>
        <w:rPr>
          <w:rFonts w:ascii="宋体" w:hAnsi="宋体" w:cs="宋体"/>
          <w:color w:val="000000" w:themeColor="text1"/>
          <w:szCs w:val="21"/>
          <w:u w:val="single"/>
        </w:rPr>
        <w:t xml:space="preserve">    </w:t>
      </w:r>
      <w:r>
        <w:rPr>
          <w:rFonts w:hint="eastAsia" w:ascii="宋体" w:hAnsi="宋体"/>
          <w:color w:val="000000" w:themeColor="text1"/>
          <w:szCs w:val="21"/>
        </w:rPr>
        <w:t>年</w:t>
      </w:r>
      <w:r>
        <w:rPr>
          <w:rFonts w:ascii="宋体" w:hAnsi="宋体" w:cs="宋体"/>
          <w:color w:val="000000" w:themeColor="text1"/>
          <w:szCs w:val="21"/>
          <w:u w:val="single"/>
        </w:rPr>
        <w:t xml:space="preserve">    </w:t>
      </w:r>
      <w:r>
        <w:rPr>
          <w:rFonts w:hint="eastAsia" w:ascii="宋体" w:hAnsi="宋体"/>
          <w:color w:val="000000" w:themeColor="text1"/>
          <w:szCs w:val="21"/>
        </w:rPr>
        <w:t>月</w:t>
      </w:r>
      <w:r>
        <w:rPr>
          <w:rFonts w:ascii="宋体" w:hAnsi="宋体" w:cs="宋体"/>
          <w:color w:val="000000" w:themeColor="text1"/>
          <w:szCs w:val="21"/>
          <w:u w:val="single"/>
        </w:rPr>
        <w:t xml:space="preserve">    </w:t>
      </w:r>
      <w:r>
        <w:rPr>
          <w:rFonts w:hint="eastAsia" w:ascii="宋体" w:hAnsi="宋体"/>
          <w:color w:val="000000" w:themeColor="text1"/>
          <w:szCs w:val="21"/>
        </w:rPr>
        <w:t>日</w:t>
      </w:r>
      <w:bookmarkStart w:id="346" w:name="_Toc246996359"/>
      <w:bookmarkStart w:id="347" w:name="_Toc152045791"/>
      <w:bookmarkStart w:id="348" w:name="_Toc247085877"/>
      <w:bookmarkStart w:id="349" w:name="_Toc246997102"/>
      <w:bookmarkStart w:id="350" w:name="_Toc179632811"/>
      <w:bookmarkStart w:id="351" w:name="_Toc152042580"/>
      <w:bookmarkStart w:id="352" w:name="_Toc296602605"/>
      <w:bookmarkStart w:id="353" w:name="_Toc144974860"/>
    </w:p>
    <w:p>
      <w:pPr>
        <w:spacing w:line="360" w:lineRule="auto"/>
        <w:jc w:val="right"/>
        <w:rPr>
          <w:rFonts w:ascii="宋体"/>
          <w:color w:val="000000" w:themeColor="text1"/>
          <w:szCs w:val="21"/>
        </w:rPr>
      </w:pPr>
    </w:p>
    <w:p>
      <w:pPr>
        <w:jc w:val="center"/>
        <w:rPr>
          <w:b/>
          <w:color w:val="000000" w:themeColor="text1"/>
          <w:sz w:val="28"/>
          <w:szCs w:val="28"/>
        </w:rPr>
      </w:pPr>
      <w:bookmarkStart w:id="354" w:name="_Toc367992286"/>
      <w:bookmarkStart w:id="355" w:name="_Toc398716801"/>
      <w:bookmarkStart w:id="356" w:name="_Toc417567987"/>
      <w:bookmarkStart w:id="357" w:name="_Toc414956970"/>
      <w:r>
        <w:rPr>
          <w:rFonts w:hint="eastAsia"/>
          <w:b/>
          <w:color w:val="000000" w:themeColor="text1"/>
          <w:sz w:val="28"/>
          <w:szCs w:val="28"/>
        </w:rPr>
        <w:t>二、</w:t>
      </w:r>
      <w:bookmarkEnd w:id="354"/>
      <w:bookmarkEnd w:id="355"/>
      <w:r>
        <w:rPr>
          <w:rFonts w:hint="eastAsia"/>
          <w:b/>
          <w:color w:val="000000" w:themeColor="text1"/>
          <w:sz w:val="28"/>
          <w:szCs w:val="28"/>
        </w:rPr>
        <w:t>分项报价表</w:t>
      </w:r>
    </w:p>
    <w:p>
      <w:pPr>
        <w:spacing w:line="400" w:lineRule="exact"/>
        <w:jc w:val="center"/>
        <w:rPr>
          <w:rFonts w:ascii="宋体" w:cs="宋体"/>
          <w:b/>
          <w:color w:val="000000" w:themeColor="text1"/>
          <w:sz w:val="24"/>
        </w:rPr>
      </w:pPr>
    </w:p>
    <w:p>
      <w:pPr>
        <w:spacing w:line="360" w:lineRule="auto"/>
        <w:rPr>
          <w:rFonts w:ascii="宋体" w:cs="宋体"/>
          <w:color w:val="000000" w:themeColor="text1"/>
          <w:sz w:val="24"/>
        </w:rPr>
      </w:pPr>
      <w:r>
        <w:rPr>
          <w:rFonts w:hint="eastAsia" w:ascii="宋体" w:hAnsi="宋体" w:cs="宋体"/>
          <w:color w:val="000000" w:themeColor="text1"/>
          <w:sz w:val="24"/>
        </w:rPr>
        <w:t>金额单位：元</w:t>
      </w:r>
    </w:p>
    <w:tbl>
      <w:tblPr>
        <w:tblStyle w:val="14"/>
        <w:tblW w:w="8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85"/>
        <w:gridCol w:w="1522"/>
        <w:gridCol w:w="1113"/>
        <w:gridCol w:w="927"/>
        <w:gridCol w:w="927"/>
        <w:gridCol w:w="111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853" w:type="dxa"/>
            <w:vAlign w:val="center"/>
          </w:tcPr>
          <w:p>
            <w:pPr>
              <w:jc w:val="center"/>
              <w:rPr>
                <w:rFonts w:ascii="宋体" w:cs="宋体"/>
                <w:color w:val="000000" w:themeColor="text1"/>
                <w:sz w:val="24"/>
              </w:rPr>
            </w:pPr>
            <w:r>
              <w:rPr>
                <w:rFonts w:hint="eastAsia" w:ascii="宋体" w:hAnsi="宋体" w:cs="宋体"/>
                <w:color w:val="000000" w:themeColor="text1"/>
                <w:sz w:val="24"/>
              </w:rPr>
              <w:t>序号</w:t>
            </w:r>
          </w:p>
        </w:tc>
        <w:tc>
          <w:tcPr>
            <w:tcW w:w="985" w:type="dxa"/>
            <w:vAlign w:val="center"/>
          </w:tcPr>
          <w:p>
            <w:pPr>
              <w:jc w:val="center"/>
              <w:rPr>
                <w:rFonts w:ascii="宋体" w:cs="宋体"/>
                <w:color w:val="000000" w:themeColor="text1"/>
                <w:sz w:val="24"/>
              </w:rPr>
            </w:pPr>
            <w:r>
              <w:rPr>
                <w:rFonts w:hint="eastAsia" w:ascii="宋体" w:hAnsi="宋体" w:cs="宋体"/>
                <w:color w:val="000000" w:themeColor="text1"/>
                <w:sz w:val="24"/>
              </w:rPr>
              <w:t>名称</w:t>
            </w:r>
          </w:p>
        </w:tc>
        <w:tc>
          <w:tcPr>
            <w:tcW w:w="1522" w:type="dxa"/>
            <w:vAlign w:val="center"/>
          </w:tcPr>
          <w:p>
            <w:pPr>
              <w:jc w:val="center"/>
              <w:rPr>
                <w:rFonts w:ascii="宋体" w:cs="宋体"/>
                <w:color w:val="000000" w:themeColor="text1"/>
                <w:sz w:val="24"/>
              </w:rPr>
            </w:pPr>
            <w:r>
              <w:rPr>
                <w:rFonts w:hint="eastAsia" w:ascii="宋体" w:hAnsi="宋体" w:cs="宋体"/>
                <w:color w:val="000000" w:themeColor="text1"/>
                <w:sz w:val="24"/>
              </w:rPr>
              <w:t>规格型号</w:t>
            </w:r>
          </w:p>
        </w:tc>
        <w:tc>
          <w:tcPr>
            <w:tcW w:w="1113" w:type="dxa"/>
            <w:vAlign w:val="center"/>
          </w:tcPr>
          <w:p>
            <w:pPr>
              <w:jc w:val="center"/>
              <w:rPr>
                <w:rFonts w:ascii="宋体" w:cs="宋体"/>
                <w:color w:val="000000" w:themeColor="text1"/>
                <w:sz w:val="24"/>
              </w:rPr>
            </w:pPr>
            <w:r>
              <w:rPr>
                <w:rFonts w:hint="eastAsia" w:ascii="宋体" w:hAnsi="宋体" w:cs="宋体"/>
                <w:color w:val="000000" w:themeColor="text1"/>
                <w:sz w:val="24"/>
              </w:rPr>
              <w:t>单位</w:t>
            </w:r>
          </w:p>
        </w:tc>
        <w:tc>
          <w:tcPr>
            <w:tcW w:w="927" w:type="dxa"/>
            <w:vAlign w:val="center"/>
          </w:tcPr>
          <w:p>
            <w:pPr>
              <w:jc w:val="center"/>
              <w:rPr>
                <w:rFonts w:ascii="宋体" w:cs="宋体"/>
                <w:color w:val="000000" w:themeColor="text1"/>
                <w:sz w:val="24"/>
              </w:rPr>
            </w:pPr>
            <w:r>
              <w:rPr>
                <w:rFonts w:hint="eastAsia" w:ascii="宋体" w:hAnsi="宋体" w:cs="宋体"/>
                <w:color w:val="000000" w:themeColor="text1"/>
                <w:sz w:val="24"/>
              </w:rPr>
              <w:t>数量</w:t>
            </w:r>
          </w:p>
        </w:tc>
        <w:tc>
          <w:tcPr>
            <w:tcW w:w="927" w:type="dxa"/>
            <w:vAlign w:val="center"/>
          </w:tcPr>
          <w:p>
            <w:pPr>
              <w:jc w:val="center"/>
              <w:rPr>
                <w:rFonts w:ascii="宋体" w:cs="宋体"/>
                <w:color w:val="000000" w:themeColor="text1"/>
                <w:sz w:val="24"/>
              </w:rPr>
            </w:pPr>
            <w:r>
              <w:rPr>
                <w:rFonts w:hint="eastAsia" w:ascii="宋体" w:hAnsi="宋体" w:cs="宋体"/>
                <w:color w:val="000000" w:themeColor="text1"/>
                <w:sz w:val="24"/>
              </w:rPr>
              <w:t>单价</w:t>
            </w:r>
          </w:p>
        </w:tc>
        <w:tc>
          <w:tcPr>
            <w:tcW w:w="1113" w:type="dxa"/>
            <w:vAlign w:val="center"/>
          </w:tcPr>
          <w:p>
            <w:pPr>
              <w:jc w:val="center"/>
              <w:rPr>
                <w:rFonts w:ascii="宋体" w:cs="宋体"/>
                <w:color w:val="000000" w:themeColor="text1"/>
                <w:sz w:val="24"/>
              </w:rPr>
            </w:pPr>
            <w:r>
              <w:rPr>
                <w:rFonts w:hint="eastAsia" w:ascii="宋体" w:hAnsi="宋体" w:cs="宋体"/>
                <w:color w:val="000000" w:themeColor="text1"/>
                <w:sz w:val="24"/>
              </w:rPr>
              <w:t>合价</w:t>
            </w:r>
          </w:p>
        </w:tc>
        <w:tc>
          <w:tcPr>
            <w:tcW w:w="985" w:type="dxa"/>
            <w:vAlign w:val="center"/>
          </w:tcPr>
          <w:p>
            <w:pPr>
              <w:jc w:val="center"/>
              <w:rPr>
                <w:rFonts w:ascii="宋体" w:cs="宋体"/>
                <w:color w:val="000000" w:themeColor="text1"/>
                <w:sz w:val="24"/>
              </w:rPr>
            </w:pPr>
            <w:r>
              <w:rPr>
                <w:rFonts w:hint="eastAsia" w:ascii="宋体" w:hAnsi="宋体" w:cs="宋体"/>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853" w:type="dxa"/>
          </w:tcPr>
          <w:p>
            <w:pPr>
              <w:rPr>
                <w:rFonts w:ascii="宋体" w:cs="宋体"/>
                <w:color w:val="000000" w:themeColor="text1"/>
                <w:sz w:val="24"/>
              </w:rPr>
            </w:pPr>
          </w:p>
        </w:tc>
        <w:tc>
          <w:tcPr>
            <w:tcW w:w="985" w:type="dxa"/>
          </w:tcPr>
          <w:p>
            <w:pPr>
              <w:rPr>
                <w:rFonts w:ascii="宋体" w:cs="宋体"/>
                <w:color w:val="000000" w:themeColor="text1"/>
                <w:sz w:val="24"/>
              </w:rPr>
            </w:pPr>
          </w:p>
        </w:tc>
        <w:tc>
          <w:tcPr>
            <w:tcW w:w="1522"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85" w:type="dxa"/>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53" w:type="dxa"/>
          </w:tcPr>
          <w:p>
            <w:pPr>
              <w:rPr>
                <w:rFonts w:ascii="宋体" w:cs="宋体"/>
                <w:color w:val="000000" w:themeColor="text1"/>
                <w:sz w:val="24"/>
              </w:rPr>
            </w:pPr>
          </w:p>
        </w:tc>
        <w:tc>
          <w:tcPr>
            <w:tcW w:w="985" w:type="dxa"/>
          </w:tcPr>
          <w:p>
            <w:pPr>
              <w:rPr>
                <w:rFonts w:ascii="宋体" w:cs="宋体"/>
                <w:color w:val="000000" w:themeColor="text1"/>
                <w:sz w:val="24"/>
              </w:rPr>
            </w:pPr>
          </w:p>
        </w:tc>
        <w:tc>
          <w:tcPr>
            <w:tcW w:w="1522"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85" w:type="dxa"/>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853" w:type="dxa"/>
          </w:tcPr>
          <w:p>
            <w:pPr>
              <w:rPr>
                <w:rFonts w:ascii="宋体" w:cs="宋体"/>
                <w:color w:val="000000" w:themeColor="text1"/>
                <w:sz w:val="24"/>
              </w:rPr>
            </w:pPr>
          </w:p>
        </w:tc>
        <w:tc>
          <w:tcPr>
            <w:tcW w:w="985" w:type="dxa"/>
          </w:tcPr>
          <w:p>
            <w:pPr>
              <w:rPr>
                <w:rFonts w:ascii="宋体" w:cs="宋体"/>
                <w:color w:val="000000" w:themeColor="text1"/>
                <w:sz w:val="24"/>
              </w:rPr>
            </w:pPr>
          </w:p>
        </w:tc>
        <w:tc>
          <w:tcPr>
            <w:tcW w:w="1522"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85" w:type="dxa"/>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853" w:type="dxa"/>
          </w:tcPr>
          <w:p>
            <w:pPr>
              <w:rPr>
                <w:rFonts w:ascii="宋体" w:cs="宋体"/>
                <w:color w:val="000000" w:themeColor="text1"/>
                <w:sz w:val="24"/>
              </w:rPr>
            </w:pPr>
          </w:p>
        </w:tc>
        <w:tc>
          <w:tcPr>
            <w:tcW w:w="985" w:type="dxa"/>
          </w:tcPr>
          <w:p>
            <w:pPr>
              <w:rPr>
                <w:rFonts w:ascii="宋体" w:cs="宋体"/>
                <w:color w:val="000000" w:themeColor="text1"/>
                <w:sz w:val="24"/>
              </w:rPr>
            </w:pPr>
          </w:p>
        </w:tc>
        <w:tc>
          <w:tcPr>
            <w:tcW w:w="1522"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85" w:type="dxa"/>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853" w:type="dxa"/>
          </w:tcPr>
          <w:p>
            <w:pPr>
              <w:rPr>
                <w:rFonts w:ascii="宋体" w:cs="宋体"/>
                <w:color w:val="000000" w:themeColor="text1"/>
                <w:sz w:val="24"/>
              </w:rPr>
            </w:pPr>
          </w:p>
        </w:tc>
        <w:tc>
          <w:tcPr>
            <w:tcW w:w="985" w:type="dxa"/>
          </w:tcPr>
          <w:p>
            <w:pPr>
              <w:rPr>
                <w:rFonts w:ascii="宋体" w:cs="宋体"/>
                <w:color w:val="000000" w:themeColor="text1"/>
                <w:sz w:val="24"/>
              </w:rPr>
            </w:pPr>
          </w:p>
        </w:tc>
        <w:tc>
          <w:tcPr>
            <w:tcW w:w="1522"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927" w:type="dxa"/>
          </w:tcPr>
          <w:p>
            <w:pPr>
              <w:rPr>
                <w:rFonts w:ascii="宋体" w:cs="宋体"/>
                <w:color w:val="000000" w:themeColor="text1"/>
                <w:sz w:val="24"/>
              </w:rPr>
            </w:pPr>
          </w:p>
        </w:tc>
        <w:tc>
          <w:tcPr>
            <w:tcW w:w="1113" w:type="dxa"/>
          </w:tcPr>
          <w:p>
            <w:pPr>
              <w:rPr>
                <w:rFonts w:ascii="宋体" w:cs="宋体"/>
                <w:color w:val="000000" w:themeColor="text1"/>
                <w:sz w:val="24"/>
              </w:rPr>
            </w:pPr>
          </w:p>
        </w:tc>
        <w:tc>
          <w:tcPr>
            <w:tcW w:w="985" w:type="dxa"/>
          </w:tcPr>
          <w:p>
            <w:pP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327" w:type="dxa"/>
            <w:gridSpan w:val="6"/>
            <w:vAlign w:val="center"/>
          </w:tcPr>
          <w:p>
            <w:pPr>
              <w:jc w:val="center"/>
              <w:rPr>
                <w:rFonts w:ascii="宋体" w:cs="宋体"/>
                <w:color w:val="000000" w:themeColor="text1"/>
                <w:sz w:val="24"/>
              </w:rPr>
            </w:pPr>
            <w:r>
              <w:rPr>
                <w:rFonts w:hint="eastAsia" w:ascii="宋体" w:cs="宋体"/>
                <w:color w:val="000000" w:themeColor="text1"/>
                <w:sz w:val="24"/>
              </w:rPr>
              <w:t>合计</w:t>
            </w:r>
          </w:p>
        </w:tc>
        <w:tc>
          <w:tcPr>
            <w:tcW w:w="1113" w:type="dxa"/>
          </w:tcPr>
          <w:p>
            <w:pPr>
              <w:rPr>
                <w:rFonts w:ascii="宋体" w:cs="宋体"/>
                <w:color w:val="000000" w:themeColor="text1"/>
                <w:sz w:val="24"/>
              </w:rPr>
            </w:pPr>
          </w:p>
        </w:tc>
        <w:tc>
          <w:tcPr>
            <w:tcW w:w="985" w:type="dxa"/>
          </w:tcPr>
          <w:p>
            <w:pPr>
              <w:rPr>
                <w:rFonts w:ascii="宋体" w:cs="宋体"/>
                <w:color w:val="000000" w:themeColor="text1"/>
                <w:sz w:val="24"/>
              </w:rPr>
            </w:pPr>
          </w:p>
        </w:tc>
      </w:tr>
    </w:tbl>
    <w:p>
      <w:pPr>
        <w:rPr>
          <w:rFonts w:ascii="宋体" w:cs="宋体"/>
          <w:color w:val="000000" w:themeColor="text1"/>
          <w:sz w:val="24"/>
          <w:lang w:val="zh-CN"/>
        </w:rPr>
      </w:pPr>
    </w:p>
    <w:p>
      <w:pPr>
        <w:rPr>
          <w:rFonts w:ascii="宋体" w:cs="宋体"/>
          <w:color w:val="000000" w:themeColor="text1"/>
          <w:sz w:val="24"/>
          <w:lang w:val="zh-CN"/>
        </w:rPr>
      </w:pPr>
    </w:p>
    <w:p>
      <w:pPr>
        <w:spacing w:line="360" w:lineRule="auto"/>
        <w:jc w:val="right"/>
        <w:rPr>
          <w:rFonts w:ascii="宋体"/>
          <w:color w:val="000000" w:themeColor="text1"/>
          <w:szCs w:val="21"/>
        </w:rPr>
      </w:pPr>
      <w:r>
        <w:rPr>
          <w:rFonts w:hint="eastAsia" w:ascii="宋体" w:hAnsi="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olor w:val="000000" w:themeColor="text1"/>
          <w:szCs w:val="21"/>
        </w:rPr>
        <w:t>（盖单位章）</w:t>
      </w:r>
    </w:p>
    <w:p>
      <w:pPr>
        <w:spacing w:line="360" w:lineRule="auto"/>
        <w:jc w:val="right"/>
        <w:rPr>
          <w:rFonts w:ascii="宋体"/>
          <w:color w:val="000000" w:themeColor="text1"/>
          <w:szCs w:val="21"/>
        </w:rPr>
      </w:pPr>
      <w:r>
        <w:rPr>
          <w:rFonts w:hint="eastAsia" w:ascii="宋体" w:hAnsi="宋体"/>
          <w:color w:val="000000" w:themeColor="text1"/>
          <w:szCs w:val="21"/>
        </w:rPr>
        <w:t>法定代表人或其委托代理人：</w:t>
      </w:r>
      <w:r>
        <w:rPr>
          <w:rFonts w:ascii="宋体" w:hAnsi="宋体" w:cs="宋体"/>
          <w:color w:val="000000" w:themeColor="text1"/>
          <w:szCs w:val="21"/>
          <w:u w:val="single"/>
        </w:rPr>
        <w:t xml:space="preserve">                     </w:t>
      </w:r>
      <w:r>
        <w:rPr>
          <w:rFonts w:hint="eastAsia" w:ascii="宋体" w:hAnsi="宋体"/>
          <w:color w:val="000000" w:themeColor="text1"/>
          <w:szCs w:val="21"/>
        </w:rPr>
        <w:t>（签字或盖章）</w:t>
      </w:r>
    </w:p>
    <w:p>
      <w:pPr>
        <w:spacing w:line="360" w:lineRule="auto"/>
        <w:jc w:val="right"/>
        <w:rPr>
          <w:rFonts w:ascii="宋体"/>
          <w:color w:val="000000" w:themeColor="text1"/>
          <w:szCs w:val="21"/>
        </w:rPr>
      </w:pPr>
    </w:p>
    <w:p>
      <w:pPr>
        <w:spacing w:line="360" w:lineRule="auto"/>
        <w:jc w:val="right"/>
        <w:rPr>
          <w:rFonts w:ascii="宋体"/>
          <w:color w:val="000000" w:themeColor="text1"/>
          <w:szCs w:val="21"/>
        </w:rPr>
      </w:pPr>
      <w:r>
        <w:rPr>
          <w:rFonts w:ascii="宋体" w:hAnsi="宋体" w:cs="宋体"/>
          <w:color w:val="000000" w:themeColor="text1"/>
          <w:szCs w:val="21"/>
          <w:u w:val="single"/>
        </w:rPr>
        <w:t xml:space="preserve">    </w:t>
      </w:r>
      <w:r>
        <w:rPr>
          <w:rFonts w:hint="eastAsia" w:ascii="宋体" w:hAnsi="宋体"/>
          <w:color w:val="000000" w:themeColor="text1"/>
          <w:szCs w:val="21"/>
        </w:rPr>
        <w:t>年</w:t>
      </w:r>
      <w:r>
        <w:rPr>
          <w:rFonts w:ascii="宋体" w:hAnsi="宋体" w:cs="宋体"/>
          <w:color w:val="000000" w:themeColor="text1"/>
          <w:szCs w:val="21"/>
          <w:u w:val="single"/>
        </w:rPr>
        <w:t xml:space="preserve">    </w:t>
      </w:r>
      <w:r>
        <w:rPr>
          <w:rFonts w:hint="eastAsia" w:ascii="宋体" w:hAnsi="宋体"/>
          <w:color w:val="000000" w:themeColor="text1"/>
          <w:szCs w:val="21"/>
        </w:rPr>
        <w:t>月</w:t>
      </w:r>
      <w:r>
        <w:rPr>
          <w:rFonts w:ascii="宋体" w:hAnsi="宋体" w:cs="宋体"/>
          <w:color w:val="000000" w:themeColor="text1"/>
          <w:szCs w:val="21"/>
          <w:u w:val="single"/>
        </w:rPr>
        <w:t xml:space="preserve">    </w:t>
      </w:r>
      <w:r>
        <w:rPr>
          <w:rFonts w:hint="eastAsia" w:ascii="宋体" w:hAnsi="宋体"/>
          <w:color w:val="000000" w:themeColor="text1"/>
          <w:szCs w:val="21"/>
        </w:rPr>
        <w:t>日</w:t>
      </w:r>
    </w:p>
    <w:p>
      <w:pPr>
        <w:jc w:val="center"/>
        <w:rPr>
          <w:rFonts w:ascii="宋体" w:cs="宋体"/>
          <w:b/>
          <w:color w:val="000000" w:themeColor="text1"/>
          <w:sz w:val="24"/>
        </w:rPr>
      </w:pPr>
      <w:r>
        <w:rPr>
          <w:rFonts w:ascii="宋体" w:cs="宋体"/>
          <w:b/>
          <w:color w:val="000000" w:themeColor="text1"/>
          <w:sz w:val="24"/>
        </w:rPr>
        <w:br w:type="page"/>
      </w:r>
      <w:r>
        <w:rPr>
          <w:rFonts w:hint="eastAsia"/>
          <w:b/>
          <w:color w:val="000000" w:themeColor="text1"/>
          <w:sz w:val="28"/>
          <w:szCs w:val="28"/>
        </w:rPr>
        <w:t>三、法定代表人身份证明</w:t>
      </w:r>
      <w:bookmarkEnd w:id="356"/>
      <w:bookmarkEnd w:id="357"/>
    </w:p>
    <w:p>
      <w:pPr>
        <w:spacing w:line="360" w:lineRule="auto"/>
        <w:rPr>
          <w:rFonts w:ascii="宋体" w:cs="宋体"/>
          <w:color w:val="000000" w:themeColor="text1"/>
          <w:sz w:val="24"/>
        </w:rPr>
      </w:pPr>
    </w:p>
    <w:p>
      <w:pPr>
        <w:spacing w:line="500" w:lineRule="exact"/>
        <w:ind w:firstLine="718" w:firstLineChars="342"/>
        <w:rPr>
          <w:rFonts w:ascii="宋体" w:cs="宋体"/>
          <w:color w:val="000000" w:themeColor="text1"/>
          <w:szCs w:val="21"/>
        </w:rPr>
      </w:pPr>
      <w:r>
        <w:rPr>
          <w:rFonts w:hint="eastAsia" w:ascii="宋体" w:hAnsi="宋体" w:cs="宋体"/>
          <w:color w:val="000000" w:themeColor="text1"/>
          <w:szCs w:val="21"/>
        </w:rPr>
        <w:t>投标人名称：</w:t>
      </w:r>
      <w:r>
        <w:rPr>
          <w:rFonts w:ascii="宋体" w:hAnsi="宋体" w:cs="宋体"/>
          <w:color w:val="000000" w:themeColor="text1"/>
          <w:szCs w:val="21"/>
          <w:u w:val="single"/>
        </w:rPr>
        <w:t xml:space="preserve">                     </w:t>
      </w:r>
    </w:p>
    <w:p>
      <w:pPr>
        <w:spacing w:line="500" w:lineRule="exact"/>
        <w:ind w:firstLine="718" w:firstLineChars="342"/>
        <w:rPr>
          <w:rFonts w:ascii="宋体" w:cs="宋体"/>
          <w:color w:val="000000" w:themeColor="text1"/>
          <w:szCs w:val="21"/>
        </w:rPr>
      </w:pPr>
      <w:r>
        <w:rPr>
          <w:rFonts w:hint="eastAsia" w:ascii="宋体" w:hAnsi="宋体" w:cs="宋体"/>
          <w:color w:val="000000" w:themeColor="text1"/>
          <w:szCs w:val="21"/>
        </w:rPr>
        <w:t>单位性质：</w:t>
      </w:r>
      <w:r>
        <w:rPr>
          <w:rFonts w:ascii="宋体" w:hAnsi="宋体" w:cs="宋体"/>
          <w:color w:val="000000" w:themeColor="text1"/>
          <w:szCs w:val="21"/>
          <w:u w:val="single"/>
        </w:rPr>
        <w:t xml:space="preserve">                     </w:t>
      </w:r>
    </w:p>
    <w:p>
      <w:pPr>
        <w:spacing w:line="500" w:lineRule="exact"/>
        <w:ind w:firstLine="718" w:firstLineChars="342"/>
        <w:rPr>
          <w:rFonts w:ascii="宋体" w:cs="宋体"/>
          <w:color w:val="000000" w:themeColor="text1"/>
          <w:szCs w:val="21"/>
        </w:rPr>
      </w:pPr>
      <w:r>
        <w:rPr>
          <w:rFonts w:hint="eastAsia" w:ascii="宋体" w:hAnsi="宋体" w:cs="宋体"/>
          <w:color w:val="000000" w:themeColor="text1"/>
          <w:szCs w:val="21"/>
        </w:rPr>
        <w:t>成立时间：</w:t>
      </w:r>
      <w:r>
        <w:rPr>
          <w:rFonts w:hint="eastAsia" w:ascii="宋体" w:hAnsi="宋体" w:cs="宋体"/>
          <w:color w:val="000000" w:themeColor="text1"/>
          <w:szCs w:val="21"/>
          <w:u w:val="single"/>
          <w:lang w:val="en-US" w:eastAsia="zh-CN"/>
        </w:rPr>
        <w:t xml:space="preserve">     </w:t>
      </w:r>
      <w:r>
        <w:rPr>
          <w:rFonts w:hint="eastAsia" w:ascii="宋体" w:hAnsi="宋体" w:cs="宋体"/>
          <w:color w:val="000000" w:themeColor="text1"/>
          <w:szCs w:val="21"/>
        </w:rPr>
        <w:t>年</w:t>
      </w:r>
      <w:r>
        <w:rPr>
          <w:rFonts w:hint="eastAsia" w:ascii="宋体" w:hAnsi="宋体" w:cs="宋体"/>
          <w:color w:val="000000" w:themeColor="text1"/>
          <w:szCs w:val="21"/>
          <w:u w:val="single"/>
          <w:lang w:val="en-US" w:eastAsia="zh-CN"/>
        </w:rPr>
        <w:t xml:space="preserve">     </w:t>
      </w:r>
      <w:r>
        <w:rPr>
          <w:rFonts w:hint="eastAsia" w:ascii="宋体" w:hAnsi="宋体" w:cs="宋体"/>
          <w:color w:val="000000" w:themeColor="text1"/>
          <w:szCs w:val="21"/>
        </w:rPr>
        <w:t>月</w:t>
      </w:r>
      <w:r>
        <w:rPr>
          <w:rFonts w:hint="eastAsia" w:ascii="宋体" w:hAnsi="宋体" w:cs="宋体"/>
          <w:color w:val="000000" w:themeColor="text1"/>
          <w:szCs w:val="21"/>
          <w:u w:val="single"/>
          <w:lang w:val="en-US" w:eastAsia="zh-CN"/>
        </w:rPr>
        <w:t xml:space="preserve">     </w:t>
      </w:r>
      <w:r>
        <w:rPr>
          <w:rFonts w:hint="eastAsia" w:ascii="宋体" w:hAnsi="宋体" w:cs="宋体"/>
          <w:color w:val="000000" w:themeColor="text1"/>
          <w:szCs w:val="21"/>
        </w:rPr>
        <w:t>日</w:t>
      </w:r>
    </w:p>
    <w:p>
      <w:pPr>
        <w:spacing w:line="500" w:lineRule="exact"/>
        <w:ind w:firstLine="718" w:firstLineChars="342"/>
        <w:rPr>
          <w:rFonts w:ascii="宋体" w:cs="宋体"/>
          <w:color w:val="000000" w:themeColor="text1"/>
          <w:szCs w:val="21"/>
        </w:rPr>
      </w:pPr>
      <w:r>
        <w:rPr>
          <w:rFonts w:hint="eastAsia" w:ascii="宋体" w:hAnsi="宋体" w:cs="宋体"/>
          <w:color w:val="000000" w:themeColor="text1"/>
          <w:szCs w:val="21"/>
        </w:rPr>
        <w:t>经营期限：</w:t>
      </w:r>
      <w:r>
        <w:rPr>
          <w:rFonts w:ascii="宋体" w:hAnsi="宋体" w:cs="宋体"/>
          <w:color w:val="000000" w:themeColor="text1"/>
          <w:szCs w:val="21"/>
          <w:u w:val="single"/>
        </w:rPr>
        <w:t xml:space="preserve">                     </w:t>
      </w:r>
    </w:p>
    <w:p>
      <w:pPr>
        <w:spacing w:line="500" w:lineRule="exact"/>
        <w:ind w:firstLine="718" w:firstLineChars="342"/>
        <w:rPr>
          <w:rFonts w:hint="eastAsia" w:ascii="宋体" w:hAnsi="宋体" w:cs="宋体"/>
          <w:color w:val="000000" w:themeColor="text1"/>
          <w:szCs w:val="21"/>
          <w:u w:val="single"/>
        </w:rPr>
      </w:pPr>
      <w:r>
        <w:rPr>
          <w:rFonts w:hint="eastAsia" w:ascii="宋体" w:hAnsi="宋体" w:cs="宋体"/>
          <w:color w:val="000000" w:themeColor="text1"/>
          <w:szCs w:val="21"/>
        </w:rPr>
        <w:t>姓名：</w:t>
      </w:r>
      <w:r>
        <w:rPr>
          <w:rFonts w:ascii="宋体" w:hAnsi="宋体" w:cs="宋体"/>
          <w:color w:val="000000" w:themeColor="text1"/>
          <w:szCs w:val="21"/>
          <w:u w:val="single"/>
        </w:rPr>
        <w:t xml:space="preserve">           </w:t>
      </w:r>
      <w:r>
        <w:rPr>
          <w:rFonts w:hint="eastAsia" w:ascii="宋体" w:hAnsi="宋体" w:cs="宋体"/>
          <w:color w:val="000000" w:themeColor="text1"/>
          <w:szCs w:val="21"/>
        </w:rPr>
        <w:t>性别：</w:t>
      </w:r>
      <w:r>
        <w:rPr>
          <w:rFonts w:ascii="宋体" w:hAnsi="宋体" w:cs="宋体"/>
          <w:color w:val="000000" w:themeColor="text1"/>
          <w:szCs w:val="21"/>
          <w:u w:val="single"/>
        </w:rPr>
        <w:t xml:space="preserve">             </w:t>
      </w:r>
      <w:r>
        <w:rPr>
          <w:rFonts w:hint="eastAsia" w:ascii="宋体" w:hAnsi="宋体" w:cs="宋体"/>
          <w:color w:val="000000" w:themeColor="text1"/>
          <w:szCs w:val="21"/>
        </w:rPr>
        <w:t>年龄：</w:t>
      </w:r>
      <w:r>
        <w:rPr>
          <w:rFonts w:ascii="宋体" w:hAnsi="宋体" w:cs="宋体"/>
          <w:color w:val="000000" w:themeColor="text1"/>
          <w:szCs w:val="21"/>
          <w:u w:val="single"/>
        </w:rPr>
        <w:t xml:space="preserve">         </w:t>
      </w:r>
      <w:r>
        <w:rPr>
          <w:rFonts w:hint="eastAsia" w:ascii="宋体" w:hAnsi="宋体" w:cs="宋体"/>
          <w:color w:val="000000" w:themeColor="text1"/>
          <w:szCs w:val="21"/>
        </w:rPr>
        <w:t>职务：</w:t>
      </w:r>
      <w:r>
        <w:rPr>
          <w:rFonts w:ascii="宋体" w:hAnsi="宋体" w:cs="宋体"/>
          <w:color w:val="000000" w:themeColor="text1"/>
          <w:szCs w:val="21"/>
          <w:u w:val="single"/>
        </w:rPr>
        <w:t xml:space="preserve">             </w:t>
      </w:r>
    </w:p>
    <w:p>
      <w:pPr>
        <w:spacing w:line="500" w:lineRule="exact"/>
        <w:ind w:firstLine="718" w:firstLineChars="342"/>
        <w:rPr>
          <w:rFonts w:ascii="宋体" w:cs="宋体"/>
          <w:color w:val="000000" w:themeColor="text1"/>
          <w:szCs w:val="21"/>
        </w:rPr>
      </w:pPr>
      <w:r>
        <w:rPr>
          <w:rFonts w:hint="eastAsia" w:ascii="宋体" w:hAnsi="宋体" w:cs="宋体"/>
          <w:color w:val="000000" w:themeColor="text1"/>
          <w:szCs w:val="21"/>
        </w:rPr>
        <w:t>系</w:t>
      </w:r>
      <w:r>
        <w:rPr>
          <w:rFonts w:ascii="宋体" w:hAnsi="宋体" w:cs="宋体"/>
          <w:color w:val="000000" w:themeColor="text1"/>
          <w:szCs w:val="21"/>
          <w:u w:val="single"/>
        </w:rPr>
        <w:t xml:space="preserve">                     </w:t>
      </w:r>
      <w:r>
        <w:rPr>
          <w:rFonts w:hint="eastAsia" w:ascii="宋体" w:hAnsi="宋体" w:cs="宋体"/>
          <w:color w:val="000000" w:themeColor="text1"/>
          <w:szCs w:val="21"/>
        </w:rPr>
        <w:t>（投标人名称）的法定代表人。</w:t>
      </w:r>
    </w:p>
    <w:p>
      <w:pPr>
        <w:spacing w:line="500" w:lineRule="exact"/>
        <w:ind w:firstLine="735" w:firstLineChars="350"/>
        <w:rPr>
          <w:rFonts w:ascii="宋体" w:cs="宋体"/>
          <w:color w:val="000000" w:themeColor="text1"/>
          <w:szCs w:val="21"/>
        </w:rPr>
      </w:pPr>
      <w:r>
        <w:rPr>
          <w:rFonts w:hint="eastAsia" w:ascii="宋体" w:hAnsi="宋体" w:cs="宋体"/>
          <w:color w:val="000000" w:themeColor="text1"/>
          <w:szCs w:val="21"/>
        </w:rPr>
        <w:t>特此证明。</w:t>
      </w:r>
    </w:p>
    <w:p>
      <w:pPr>
        <w:spacing w:line="500" w:lineRule="exact"/>
        <w:ind w:firstLine="420"/>
        <w:rPr>
          <w:rFonts w:ascii="宋体" w:cs="宋体"/>
          <w:color w:val="000000" w:themeColor="text1"/>
          <w:szCs w:val="21"/>
        </w:rPr>
      </w:pPr>
    </w:p>
    <w:p>
      <w:pPr>
        <w:spacing w:line="500" w:lineRule="exact"/>
        <w:ind w:firstLine="420"/>
        <w:rPr>
          <w:rFonts w:ascii="宋体" w:cs="宋体"/>
          <w:color w:val="000000" w:themeColor="text1"/>
          <w:szCs w:val="21"/>
        </w:rPr>
      </w:pPr>
    </w:p>
    <w:p>
      <w:pPr>
        <w:spacing w:line="500" w:lineRule="exact"/>
        <w:ind w:firstLine="4830" w:firstLineChars="2300"/>
        <w:rPr>
          <w:rFonts w:ascii="宋体" w:cs="宋体"/>
          <w:color w:val="000000" w:themeColor="text1"/>
          <w:szCs w:val="21"/>
        </w:rPr>
      </w:pPr>
      <w:r>
        <w:rPr>
          <w:rFonts w:hint="eastAsia" w:ascii="宋体" w:hAnsi="宋体" w:cs="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s="宋体"/>
          <w:color w:val="000000" w:themeColor="text1"/>
          <w:szCs w:val="21"/>
        </w:rPr>
        <w:t>（盖单位公章）</w:t>
      </w:r>
    </w:p>
    <w:p>
      <w:pPr>
        <w:spacing w:line="500" w:lineRule="exact"/>
        <w:ind w:firstLine="4372" w:firstLineChars="2082"/>
        <w:jc w:val="right"/>
        <w:rPr>
          <w:rFonts w:ascii="宋体" w:cs="宋体"/>
          <w:color w:val="000000" w:themeColor="text1"/>
          <w:szCs w:val="21"/>
        </w:rPr>
      </w:pPr>
      <w:r>
        <w:rPr>
          <w:rFonts w:ascii="宋体" w:hAnsi="宋体" w:cs="宋体"/>
          <w:color w:val="000000" w:themeColor="text1"/>
          <w:szCs w:val="21"/>
          <w:u w:val="single"/>
        </w:rPr>
        <w:t xml:space="preserve">   </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p>
    <w:p>
      <w:pPr>
        <w:spacing w:line="500" w:lineRule="exact"/>
        <w:ind w:firstLine="420"/>
        <w:rPr>
          <w:rFonts w:ascii="宋体" w:cs="宋体"/>
          <w:color w:val="000000" w:themeColor="text1"/>
          <w:szCs w:val="21"/>
        </w:rPr>
      </w:pPr>
    </w:p>
    <w:p>
      <w:pPr>
        <w:spacing w:line="500" w:lineRule="exact"/>
        <w:ind w:firstLine="420"/>
        <w:rPr>
          <w:rFonts w:ascii="宋体" w:cs="宋体"/>
          <w:color w:val="000000" w:themeColor="text1"/>
          <w:szCs w:val="21"/>
        </w:rPr>
        <w:sectPr>
          <w:headerReference r:id="rId6" w:type="default"/>
          <w:pgSz w:w="11906" w:h="16838"/>
          <w:pgMar w:top="1418" w:right="1418" w:bottom="1418" w:left="1418" w:header="850" w:footer="992" w:gutter="0"/>
          <w:pgNumType w:fmt="numberInDash"/>
          <w:cols w:space="720" w:num="1"/>
          <w:docGrid w:type="lines" w:linePitch="318" w:charSpace="0"/>
        </w:sectPr>
      </w:pPr>
      <w:r>
        <w:rPr>
          <w:rFonts w:hint="eastAsia" w:ascii="宋体" w:hAnsi="宋体" w:cs="宋体"/>
          <w:b/>
          <w:bCs/>
          <w:color w:val="000000" w:themeColor="text1"/>
          <w:szCs w:val="21"/>
        </w:rPr>
        <w:t>注：</w:t>
      </w:r>
      <w:r>
        <w:rPr>
          <w:rFonts w:hint="eastAsia" w:ascii="宋体" w:hAnsi="宋体" w:cs="宋体"/>
          <w:color w:val="000000" w:themeColor="text1"/>
          <w:szCs w:val="21"/>
        </w:rPr>
        <w:t>附法定代表人身份证复印件</w:t>
      </w:r>
    </w:p>
    <w:p>
      <w:pPr>
        <w:spacing w:line="360" w:lineRule="auto"/>
        <w:jc w:val="center"/>
        <w:rPr>
          <w:rFonts w:ascii="宋体" w:cs="宋体"/>
          <w:b/>
          <w:color w:val="000000" w:themeColor="text1"/>
          <w:sz w:val="24"/>
        </w:rPr>
      </w:pPr>
      <w:bookmarkStart w:id="358" w:name="_Toc414956971"/>
      <w:bookmarkStart w:id="359" w:name="_Toc417567988"/>
      <w:r>
        <w:rPr>
          <w:rFonts w:hint="eastAsia" w:ascii="宋体" w:hAnsi="宋体" w:cs="宋体"/>
          <w:b/>
          <w:color w:val="000000" w:themeColor="text1"/>
          <w:sz w:val="24"/>
        </w:rPr>
        <w:t>法定代表人授权委托书</w:t>
      </w:r>
      <w:bookmarkEnd w:id="358"/>
      <w:bookmarkEnd w:id="359"/>
    </w:p>
    <w:p>
      <w:pPr>
        <w:spacing w:line="360" w:lineRule="auto"/>
        <w:rPr>
          <w:rFonts w:ascii="宋体" w:cs="宋体"/>
          <w:color w:val="000000" w:themeColor="text1"/>
          <w:sz w:val="24"/>
        </w:rPr>
      </w:pPr>
    </w:p>
    <w:p>
      <w:pPr>
        <w:spacing w:line="360" w:lineRule="auto"/>
        <w:ind w:right="31" w:rightChars="15" w:firstLine="435"/>
        <w:rPr>
          <w:rFonts w:ascii="宋体" w:cs="宋体"/>
          <w:color w:val="000000" w:themeColor="text1"/>
          <w:szCs w:val="21"/>
        </w:rPr>
      </w:pPr>
      <w:r>
        <w:rPr>
          <w:rFonts w:hint="eastAsia" w:ascii="宋体" w:hAnsi="宋体" w:cs="宋体"/>
          <w:color w:val="000000" w:themeColor="text1"/>
          <w:szCs w:val="21"/>
        </w:rPr>
        <w:t>本授权委托书声明：我</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（姓名）系</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（投标人全称）的法定代表人，现授权委托</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（姓名）为本单位的合法代理人</w:t>
      </w:r>
      <w:r>
        <w:rPr>
          <w:rFonts w:ascii="宋体" w:hAnsi="宋体" w:cs="宋体"/>
          <w:color w:val="000000" w:themeColor="text1"/>
          <w:szCs w:val="21"/>
        </w:rPr>
        <w:t>(</w:t>
      </w:r>
      <w:r>
        <w:rPr>
          <w:rFonts w:hint="eastAsia" w:ascii="宋体" w:hAnsi="宋体" w:cs="宋体"/>
          <w:color w:val="000000" w:themeColor="text1"/>
          <w:szCs w:val="21"/>
        </w:rPr>
        <w:t>即授权代表</w:t>
      </w:r>
      <w:r>
        <w:rPr>
          <w:rFonts w:ascii="宋体" w:hAnsi="宋体" w:cs="宋体"/>
          <w:color w:val="000000" w:themeColor="text1"/>
          <w:szCs w:val="21"/>
        </w:rPr>
        <w:t>)</w:t>
      </w:r>
      <w:r>
        <w:rPr>
          <w:rFonts w:hint="eastAsia" w:ascii="宋体" w:hAnsi="宋体" w:cs="宋体"/>
          <w:color w:val="000000" w:themeColor="text1"/>
          <w:szCs w:val="21"/>
        </w:rPr>
        <w:t>，以本单位的名义参加</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项目名称</w:t>
      </w:r>
      <w:r>
        <w:rPr>
          <w:rFonts w:ascii="宋体" w:hAnsi="宋体" w:cs="宋体"/>
          <w:color w:val="000000" w:themeColor="text1"/>
          <w:szCs w:val="21"/>
          <w:u w:val="single"/>
        </w:rPr>
        <w:t xml:space="preserve">)      </w:t>
      </w:r>
      <w:r>
        <w:rPr>
          <w:rFonts w:hint="eastAsia" w:ascii="宋体" w:hAnsi="宋体" w:cs="宋体"/>
          <w:color w:val="000000" w:themeColor="text1"/>
          <w:szCs w:val="21"/>
        </w:rPr>
        <w:t>的投标，授权代表签署的一切文件和处理与之有关的一切事务，我均予以承认。</w:t>
      </w:r>
    </w:p>
    <w:p>
      <w:pPr>
        <w:spacing w:line="360" w:lineRule="auto"/>
        <w:ind w:firstLine="435"/>
        <w:rPr>
          <w:rFonts w:ascii="宋体" w:cs="宋体"/>
          <w:color w:val="000000" w:themeColor="text1"/>
          <w:szCs w:val="21"/>
        </w:rPr>
      </w:pPr>
      <w:r>
        <w:rPr>
          <w:rFonts w:hint="eastAsia" w:ascii="宋体" w:hAnsi="宋体" w:cs="宋体"/>
          <w:color w:val="000000" w:themeColor="text1"/>
          <w:szCs w:val="21"/>
        </w:rPr>
        <w:t>代理人无转委托权。</w:t>
      </w:r>
    </w:p>
    <w:p>
      <w:pPr>
        <w:spacing w:line="360" w:lineRule="auto"/>
        <w:ind w:firstLine="435"/>
        <w:rPr>
          <w:rFonts w:ascii="宋体" w:cs="宋体"/>
          <w:color w:val="000000" w:themeColor="text1"/>
          <w:szCs w:val="21"/>
        </w:rPr>
      </w:pPr>
    </w:p>
    <w:p>
      <w:pPr>
        <w:spacing w:line="360" w:lineRule="auto"/>
        <w:rPr>
          <w:rFonts w:ascii="宋体" w:cs="宋体"/>
          <w:color w:val="000000" w:themeColor="text1"/>
          <w:szCs w:val="21"/>
        </w:rPr>
      </w:pPr>
    </w:p>
    <w:p>
      <w:pPr>
        <w:spacing w:line="520" w:lineRule="exact"/>
        <w:rPr>
          <w:rFonts w:ascii="宋体" w:cs="宋体"/>
          <w:color w:val="000000" w:themeColor="text1"/>
          <w:szCs w:val="21"/>
        </w:rPr>
      </w:pPr>
    </w:p>
    <w:p>
      <w:pPr>
        <w:spacing w:line="500" w:lineRule="exact"/>
        <w:ind w:firstLine="4500"/>
        <w:rPr>
          <w:rFonts w:ascii="宋体" w:cs="宋体"/>
          <w:color w:val="000000" w:themeColor="text1"/>
          <w:szCs w:val="21"/>
        </w:rPr>
      </w:pPr>
      <w:r>
        <w:rPr>
          <w:rFonts w:hint="eastAsia" w:ascii="宋体" w:hAnsi="宋体" w:cs="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（盖单位公章）</w:t>
      </w:r>
    </w:p>
    <w:p>
      <w:pPr>
        <w:spacing w:line="500" w:lineRule="exact"/>
        <w:ind w:firstLine="4500"/>
        <w:rPr>
          <w:rFonts w:ascii="宋体" w:cs="宋体"/>
          <w:color w:val="000000" w:themeColor="text1"/>
          <w:szCs w:val="21"/>
        </w:rPr>
      </w:pPr>
      <w:r>
        <w:rPr>
          <w:rFonts w:hint="eastAsia" w:ascii="宋体" w:hAnsi="宋体" w:cs="宋体"/>
          <w:color w:val="000000" w:themeColor="text1"/>
          <w:szCs w:val="21"/>
        </w:rPr>
        <w:t>法定代表人：</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（签字）</w:t>
      </w:r>
    </w:p>
    <w:p>
      <w:pPr>
        <w:spacing w:line="500" w:lineRule="exact"/>
        <w:ind w:firstLine="4500"/>
        <w:rPr>
          <w:rFonts w:ascii="宋体" w:cs="宋体"/>
          <w:color w:val="000000" w:themeColor="text1"/>
          <w:szCs w:val="21"/>
        </w:rPr>
      </w:pPr>
      <w:r>
        <w:rPr>
          <w:rFonts w:hint="eastAsia" w:ascii="宋体" w:hAnsi="宋体" w:cs="宋体"/>
          <w:color w:val="000000" w:themeColor="text1"/>
          <w:szCs w:val="21"/>
        </w:rPr>
        <w:t>身份证号码：</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p>
    <w:p>
      <w:pPr>
        <w:spacing w:line="500" w:lineRule="exact"/>
        <w:ind w:firstLine="4500"/>
        <w:rPr>
          <w:rFonts w:ascii="宋体" w:cs="宋体"/>
          <w:color w:val="000000" w:themeColor="text1"/>
          <w:szCs w:val="21"/>
        </w:rPr>
      </w:pPr>
      <w:r>
        <w:rPr>
          <w:rFonts w:hint="eastAsia" w:ascii="宋体" w:hAnsi="宋体" w:cs="宋体"/>
          <w:color w:val="000000" w:themeColor="text1"/>
          <w:szCs w:val="21"/>
        </w:rPr>
        <w:t>授权代表：</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（签字）</w:t>
      </w:r>
    </w:p>
    <w:p>
      <w:pPr>
        <w:spacing w:line="500" w:lineRule="exact"/>
        <w:ind w:firstLine="4500"/>
        <w:rPr>
          <w:rFonts w:ascii="宋体" w:cs="宋体"/>
          <w:color w:val="000000" w:themeColor="text1"/>
          <w:szCs w:val="21"/>
        </w:rPr>
      </w:pPr>
      <w:r>
        <w:rPr>
          <w:rFonts w:hint="eastAsia" w:ascii="宋体" w:hAnsi="宋体" w:cs="宋体"/>
          <w:color w:val="000000" w:themeColor="text1"/>
          <w:szCs w:val="21"/>
        </w:rPr>
        <w:t>身份证号码：</w:t>
      </w:r>
      <w:r>
        <w:rPr>
          <w:rFonts w:ascii="宋体" w:hAnsi="宋体" w:cs="宋体"/>
          <w:color w:val="000000" w:themeColor="text1"/>
          <w:szCs w:val="21"/>
          <w:u w:val="single"/>
        </w:rPr>
        <w:t xml:space="preserve">   </w:t>
      </w:r>
      <w:r>
        <w:rPr>
          <w:rFonts w:hint="eastAsia" w:ascii="宋体" w:hAnsi="宋体" w:cs="宋体"/>
          <w:color w:val="000000" w:themeColor="text1"/>
          <w:szCs w:val="21"/>
          <w:u w:val="single"/>
        </w:rPr>
        <w:t xml:space="preserve">               </w:t>
      </w:r>
    </w:p>
    <w:p>
      <w:pPr>
        <w:spacing w:line="500" w:lineRule="exact"/>
        <w:ind w:firstLine="4200" w:firstLineChars="2000"/>
        <w:jc w:val="center"/>
        <w:rPr>
          <w:rFonts w:ascii="宋体" w:cs="宋体"/>
          <w:color w:val="000000" w:themeColor="text1"/>
          <w:szCs w:val="21"/>
        </w:rPr>
      </w:pPr>
      <w:r>
        <w:rPr>
          <w:rFonts w:hint="eastAsia" w:ascii="宋体" w:hAnsi="宋体" w:cs="宋体"/>
          <w:color w:val="000000" w:themeColor="text1"/>
          <w:szCs w:val="21"/>
          <w:u w:val="single"/>
          <w:lang w:val="en-US" w:eastAsia="zh-CN"/>
        </w:rPr>
        <w:t xml:space="preserve">   </w:t>
      </w:r>
      <w:r>
        <w:rPr>
          <w:rFonts w:hint="eastAsia" w:ascii="宋体" w:hAnsi="宋体" w:cs="宋体"/>
          <w:color w:val="000000" w:themeColor="text1"/>
          <w:szCs w:val="21"/>
        </w:rPr>
        <w:t>年</w:t>
      </w:r>
      <w:r>
        <w:rPr>
          <w:rFonts w:ascii="宋体" w:hAnsi="宋体" w:cs="宋体"/>
          <w:color w:val="000000" w:themeColor="text1"/>
          <w:szCs w:val="21"/>
          <w:u w:val="single"/>
        </w:rPr>
        <w:t xml:space="preserve">   </w:t>
      </w:r>
      <w:r>
        <w:rPr>
          <w:rFonts w:hint="eastAsia" w:ascii="宋体" w:hAnsi="宋体" w:cs="宋体"/>
          <w:color w:val="000000" w:themeColor="text1"/>
          <w:szCs w:val="21"/>
        </w:rPr>
        <w:t>月</w:t>
      </w:r>
      <w:r>
        <w:rPr>
          <w:rFonts w:ascii="宋体" w:hAnsi="宋体" w:cs="宋体"/>
          <w:color w:val="000000" w:themeColor="text1"/>
          <w:szCs w:val="21"/>
          <w:u w:val="single"/>
        </w:rPr>
        <w:t xml:space="preserve">   </w:t>
      </w:r>
      <w:r>
        <w:rPr>
          <w:rFonts w:hint="eastAsia" w:ascii="宋体" w:hAnsi="宋体" w:cs="宋体"/>
          <w:color w:val="000000" w:themeColor="text1"/>
          <w:szCs w:val="21"/>
        </w:rPr>
        <w:t>日</w:t>
      </w:r>
    </w:p>
    <w:p>
      <w:pPr>
        <w:spacing w:line="360" w:lineRule="auto"/>
        <w:ind w:firstLine="210" w:firstLineChars="100"/>
        <w:rPr>
          <w:rFonts w:ascii="宋体" w:cs="宋体"/>
          <w:color w:val="000000" w:themeColor="text1"/>
          <w:szCs w:val="21"/>
        </w:rPr>
      </w:pPr>
    </w:p>
    <w:p>
      <w:pPr>
        <w:spacing w:line="360" w:lineRule="auto"/>
        <w:ind w:firstLine="210" w:firstLineChars="100"/>
        <w:rPr>
          <w:rFonts w:ascii="宋体" w:cs="宋体"/>
          <w:color w:val="000000" w:themeColor="text1"/>
          <w:szCs w:val="21"/>
        </w:rPr>
        <w:sectPr>
          <w:pgSz w:w="11906" w:h="16838"/>
          <w:pgMar w:top="1418" w:right="1418" w:bottom="1418" w:left="1418" w:header="850" w:footer="992" w:gutter="0"/>
          <w:pgNumType w:fmt="numberInDash"/>
          <w:cols w:space="720" w:num="1"/>
          <w:docGrid w:type="lines" w:linePitch="318" w:charSpace="0"/>
        </w:sectPr>
      </w:pPr>
      <w:r>
        <w:rPr>
          <w:rFonts w:hint="eastAsia" w:ascii="宋体" w:hAnsi="宋体" w:cs="宋体"/>
          <w:color w:val="000000" w:themeColor="text1"/>
          <w:szCs w:val="21"/>
        </w:rPr>
        <w:t>注：附法定代表人及授权委托人身份证复印件</w:t>
      </w:r>
    </w:p>
    <w:p>
      <w:pPr>
        <w:snapToGrid w:val="0"/>
        <w:spacing w:line="336" w:lineRule="auto"/>
        <w:jc w:val="center"/>
        <w:rPr>
          <w:rFonts w:ascii="宋体" w:cs="宋体"/>
          <w:b/>
          <w:bCs/>
          <w:color w:val="000000" w:themeColor="text1"/>
          <w:sz w:val="24"/>
        </w:rPr>
      </w:pPr>
      <w:bookmarkStart w:id="360" w:name="_Toc414956975"/>
      <w:bookmarkStart w:id="361" w:name="_Toc417567991"/>
      <w:bookmarkStart w:id="362" w:name="_Toc398716804"/>
      <w:r>
        <w:rPr>
          <w:rFonts w:hint="eastAsia" w:ascii="宋体" w:hAnsi="宋体" w:cs="宋体"/>
          <w:b/>
          <w:bCs/>
          <w:color w:val="000000" w:themeColor="text1"/>
          <w:sz w:val="24"/>
        </w:rPr>
        <w:t>四、技术条款偏离表</w:t>
      </w:r>
      <w:bookmarkEnd w:id="360"/>
      <w:bookmarkEnd w:id="361"/>
      <w:bookmarkEnd w:id="362"/>
    </w:p>
    <w:p>
      <w:pPr>
        <w:spacing w:after="120"/>
        <w:rPr>
          <w:rFonts w:ascii="宋体" w:cs="宋体"/>
          <w:color w:val="000000" w:themeColor="text1"/>
          <w:sz w:val="24"/>
        </w:rPr>
      </w:pPr>
    </w:p>
    <w:tbl>
      <w:tblPr>
        <w:tblStyle w:val="14"/>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94"/>
        <w:gridCol w:w="2541"/>
        <w:gridCol w:w="2426"/>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cs="宋体"/>
                <w:color w:val="000000" w:themeColor="text1"/>
                <w:szCs w:val="21"/>
              </w:rPr>
            </w:pPr>
            <w:r>
              <w:rPr>
                <w:rFonts w:hint="eastAsia" w:ascii="宋体" w:hAnsi="宋体" w:cs="宋体"/>
                <w:color w:val="000000" w:themeColor="text1"/>
                <w:szCs w:val="21"/>
              </w:rPr>
              <w:t>序号</w:t>
            </w:r>
          </w:p>
        </w:tc>
        <w:tc>
          <w:tcPr>
            <w:tcW w:w="1994" w:type="dxa"/>
            <w:vAlign w:val="center"/>
          </w:tcPr>
          <w:p>
            <w:pPr>
              <w:spacing w:line="300" w:lineRule="auto"/>
              <w:jc w:val="center"/>
              <w:rPr>
                <w:rFonts w:ascii="宋体" w:cs="宋体"/>
                <w:color w:val="000000" w:themeColor="text1"/>
                <w:szCs w:val="21"/>
              </w:rPr>
            </w:pPr>
            <w:r>
              <w:rPr>
                <w:rFonts w:hint="eastAsia" w:ascii="宋体" w:hAnsi="宋体" w:cs="宋体"/>
                <w:color w:val="000000" w:themeColor="text1"/>
                <w:szCs w:val="21"/>
              </w:rPr>
              <w:t>设备名称</w:t>
            </w:r>
          </w:p>
        </w:tc>
        <w:tc>
          <w:tcPr>
            <w:tcW w:w="2541" w:type="dxa"/>
            <w:vAlign w:val="center"/>
          </w:tcPr>
          <w:p>
            <w:pPr>
              <w:spacing w:line="300" w:lineRule="auto"/>
              <w:jc w:val="center"/>
              <w:rPr>
                <w:rFonts w:ascii="宋体" w:cs="宋体"/>
                <w:color w:val="000000" w:themeColor="text1"/>
                <w:szCs w:val="21"/>
              </w:rPr>
            </w:pPr>
            <w:r>
              <w:rPr>
                <w:rFonts w:hint="eastAsia" w:ascii="宋体" w:hAnsi="宋体" w:cs="宋体"/>
                <w:color w:val="000000" w:themeColor="text1"/>
                <w:szCs w:val="21"/>
              </w:rPr>
              <w:t>招标文件要求技术条款</w:t>
            </w:r>
          </w:p>
        </w:tc>
        <w:tc>
          <w:tcPr>
            <w:tcW w:w="2426" w:type="dxa"/>
            <w:vAlign w:val="center"/>
          </w:tcPr>
          <w:p>
            <w:pPr>
              <w:spacing w:line="300" w:lineRule="auto"/>
              <w:jc w:val="center"/>
              <w:rPr>
                <w:rFonts w:ascii="宋体" w:cs="宋体"/>
                <w:color w:val="000000" w:themeColor="text1"/>
                <w:szCs w:val="21"/>
              </w:rPr>
            </w:pPr>
            <w:r>
              <w:rPr>
                <w:rFonts w:hint="eastAsia" w:ascii="宋体" w:hAnsi="宋体" w:cs="宋体"/>
                <w:color w:val="000000" w:themeColor="text1"/>
                <w:szCs w:val="21"/>
              </w:rPr>
              <w:t>投标文件响应技术条款</w:t>
            </w:r>
          </w:p>
        </w:tc>
        <w:tc>
          <w:tcPr>
            <w:tcW w:w="1405" w:type="dxa"/>
            <w:vAlign w:val="center"/>
          </w:tcPr>
          <w:p>
            <w:pPr>
              <w:spacing w:line="300" w:lineRule="auto"/>
              <w:jc w:val="center"/>
              <w:rPr>
                <w:rFonts w:ascii="宋体" w:cs="宋体"/>
                <w:color w:val="000000" w:themeColor="text1"/>
                <w:szCs w:val="21"/>
              </w:rPr>
            </w:pPr>
            <w:r>
              <w:rPr>
                <w:rFonts w:hint="eastAsia" w:ascii="宋体" w:hAnsi="宋体" w:cs="宋体"/>
                <w:color w:val="000000" w:themeColor="text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hAnsi="宋体" w:cs="宋体"/>
                <w:color w:val="000000" w:themeColor="text1"/>
                <w:sz w:val="24"/>
              </w:rPr>
            </w:pPr>
            <w:r>
              <w:rPr>
                <w:rFonts w:ascii="宋体" w:hAnsi="宋体" w:cs="宋体"/>
                <w:color w:val="000000" w:themeColor="text1"/>
                <w:sz w:val="24"/>
              </w:rPr>
              <w:t>1</w:t>
            </w:r>
          </w:p>
        </w:tc>
        <w:tc>
          <w:tcPr>
            <w:tcW w:w="1994" w:type="dxa"/>
            <w:vAlign w:val="center"/>
          </w:tcPr>
          <w:p>
            <w:pPr>
              <w:spacing w:line="300" w:lineRule="auto"/>
              <w:jc w:val="center"/>
              <w:rPr>
                <w:rFonts w:ascii="宋体" w:hAnsi="宋体" w:cs="宋体"/>
                <w:color w:val="000000" w:themeColor="text1"/>
                <w:sz w:val="24"/>
              </w:rPr>
            </w:pPr>
          </w:p>
        </w:tc>
        <w:tc>
          <w:tcPr>
            <w:tcW w:w="2541" w:type="dxa"/>
            <w:vAlign w:val="center"/>
          </w:tcPr>
          <w:p>
            <w:pPr>
              <w:spacing w:line="300" w:lineRule="auto"/>
              <w:jc w:val="center"/>
              <w:rPr>
                <w:rFonts w:ascii="宋体" w:hAnsi="宋体" w:cs="宋体"/>
                <w:color w:val="000000" w:themeColor="text1"/>
                <w:sz w:val="24"/>
              </w:rPr>
            </w:pPr>
          </w:p>
        </w:tc>
        <w:tc>
          <w:tcPr>
            <w:tcW w:w="2426" w:type="dxa"/>
            <w:vAlign w:val="center"/>
          </w:tcPr>
          <w:p>
            <w:pPr>
              <w:spacing w:line="300" w:lineRule="auto"/>
              <w:jc w:val="center"/>
              <w:rPr>
                <w:rFonts w:ascii="宋体" w:hAnsi="宋体" w:cs="宋体"/>
                <w:color w:val="000000" w:themeColor="text1"/>
                <w:sz w:val="24"/>
              </w:rPr>
            </w:pPr>
          </w:p>
        </w:tc>
        <w:tc>
          <w:tcPr>
            <w:tcW w:w="1405" w:type="dxa"/>
            <w:vAlign w:val="center"/>
          </w:tcPr>
          <w:p>
            <w:pPr>
              <w:spacing w:line="30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hAnsi="宋体" w:cs="宋体"/>
                <w:color w:val="000000" w:themeColor="text1"/>
                <w:sz w:val="24"/>
              </w:rPr>
            </w:pPr>
            <w:r>
              <w:rPr>
                <w:rFonts w:ascii="宋体" w:hAnsi="宋体" w:cs="宋体"/>
                <w:color w:val="000000" w:themeColor="text1"/>
                <w:sz w:val="24"/>
              </w:rPr>
              <w:t>2</w:t>
            </w:r>
          </w:p>
        </w:tc>
        <w:tc>
          <w:tcPr>
            <w:tcW w:w="1994" w:type="dxa"/>
            <w:vAlign w:val="center"/>
          </w:tcPr>
          <w:p>
            <w:pPr>
              <w:spacing w:line="300" w:lineRule="auto"/>
              <w:jc w:val="center"/>
              <w:rPr>
                <w:rFonts w:ascii="宋体" w:hAnsi="宋体" w:cs="宋体"/>
                <w:color w:val="000000" w:themeColor="text1"/>
                <w:sz w:val="24"/>
              </w:rPr>
            </w:pPr>
          </w:p>
        </w:tc>
        <w:tc>
          <w:tcPr>
            <w:tcW w:w="2541" w:type="dxa"/>
            <w:vAlign w:val="center"/>
          </w:tcPr>
          <w:p>
            <w:pPr>
              <w:spacing w:line="300" w:lineRule="auto"/>
              <w:jc w:val="center"/>
              <w:rPr>
                <w:rFonts w:ascii="宋体" w:hAnsi="宋体" w:cs="宋体"/>
                <w:color w:val="000000" w:themeColor="text1"/>
                <w:sz w:val="24"/>
              </w:rPr>
            </w:pPr>
          </w:p>
        </w:tc>
        <w:tc>
          <w:tcPr>
            <w:tcW w:w="2426" w:type="dxa"/>
            <w:vAlign w:val="center"/>
          </w:tcPr>
          <w:p>
            <w:pPr>
              <w:spacing w:line="300" w:lineRule="auto"/>
              <w:jc w:val="center"/>
              <w:rPr>
                <w:rFonts w:ascii="宋体" w:hAnsi="宋体" w:cs="宋体"/>
                <w:color w:val="000000" w:themeColor="text1"/>
                <w:sz w:val="24"/>
              </w:rPr>
            </w:pPr>
          </w:p>
        </w:tc>
        <w:tc>
          <w:tcPr>
            <w:tcW w:w="1405" w:type="dxa"/>
            <w:vAlign w:val="center"/>
          </w:tcPr>
          <w:p>
            <w:pPr>
              <w:spacing w:line="30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hAnsi="宋体" w:cs="宋体"/>
                <w:color w:val="000000" w:themeColor="text1"/>
                <w:sz w:val="24"/>
              </w:rPr>
            </w:pPr>
            <w:r>
              <w:rPr>
                <w:rFonts w:ascii="宋体" w:hAnsi="宋体" w:cs="宋体"/>
                <w:color w:val="000000" w:themeColor="text1"/>
                <w:sz w:val="24"/>
              </w:rPr>
              <w:t>3</w:t>
            </w:r>
          </w:p>
        </w:tc>
        <w:tc>
          <w:tcPr>
            <w:tcW w:w="1994" w:type="dxa"/>
            <w:vAlign w:val="center"/>
          </w:tcPr>
          <w:p>
            <w:pPr>
              <w:spacing w:line="300" w:lineRule="auto"/>
              <w:jc w:val="center"/>
              <w:rPr>
                <w:rFonts w:ascii="宋体" w:hAnsi="宋体" w:cs="宋体"/>
                <w:color w:val="000000" w:themeColor="text1"/>
                <w:sz w:val="24"/>
              </w:rPr>
            </w:pPr>
          </w:p>
        </w:tc>
        <w:tc>
          <w:tcPr>
            <w:tcW w:w="2541" w:type="dxa"/>
            <w:vAlign w:val="center"/>
          </w:tcPr>
          <w:p>
            <w:pPr>
              <w:spacing w:line="300" w:lineRule="auto"/>
              <w:jc w:val="center"/>
              <w:rPr>
                <w:rFonts w:ascii="宋体" w:hAnsi="宋体" w:cs="宋体"/>
                <w:color w:val="000000" w:themeColor="text1"/>
                <w:sz w:val="24"/>
              </w:rPr>
            </w:pPr>
          </w:p>
        </w:tc>
        <w:tc>
          <w:tcPr>
            <w:tcW w:w="2426" w:type="dxa"/>
            <w:vAlign w:val="center"/>
          </w:tcPr>
          <w:p>
            <w:pPr>
              <w:spacing w:line="300" w:lineRule="auto"/>
              <w:jc w:val="center"/>
              <w:rPr>
                <w:rFonts w:ascii="宋体" w:hAnsi="宋体" w:cs="宋体"/>
                <w:color w:val="000000" w:themeColor="text1"/>
                <w:sz w:val="24"/>
              </w:rPr>
            </w:pPr>
          </w:p>
        </w:tc>
        <w:tc>
          <w:tcPr>
            <w:tcW w:w="1405" w:type="dxa"/>
            <w:vAlign w:val="center"/>
          </w:tcPr>
          <w:p>
            <w:pPr>
              <w:spacing w:line="30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hAnsi="宋体" w:cs="宋体"/>
                <w:color w:val="000000" w:themeColor="text1"/>
                <w:sz w:val="24"/>
              </w:rPr>
            </w:pPr>
            <w:r>
              <w:rPr>
                <w:rFonts w:ascii="宋体" w:hAnsi="宋体" w:cs="宋体"/>
                <w:color w:val="000000" w:themeColor="text1"/>
                <w:sz w:val="24"/>
              </w:rPr>
              <w:t>4</w:t>
            </w:r>
          </w:p>
        </w:tc>
        <w:tc>
          <w:tcPr>
            <w:tcW w:w="1994" w:type="dxa"/>
            <w:vAlign w:val="center"/>
          </w:tcPr>
          <w:p>
            <w:pPr>
              <w:spacing w:line="300" w:lineRule="auto"/>
              <w:jc w:val="center"/>
              <w:rPr>
                <w:rFonts w:ascii="宋体" w:hAnsi="宋体" w:cs="宋体"/>
                <w:color w:val="000000" w:themeColor="text1"/>
                <w:sz w:val="24"/>
              </w:rPr>
            </w:pPr>
          </w:p>
        </w:tc>
        <w:tc>
          <w:tcPr>
            <w:tcW w:w="2541" w:type="dxa"/>
            <w:vAlign w:val="center"/>
          </w:tcPr>
          <w:p>
            <w:pPr>
              <w:spacing w:line="300" w:lineRule="auto"/>
              <w:jc w:val="center"/>
              <w:rPr>
                <w:rFonts w:ascii="宋体" w:hAnsi="宋体" w:cs="宋体"/>
                <w:color w:val="000000" w:themeColor="text1"/>
                <w:sz w:val="24"/>
              </w:rPr>
            </w:pPr>
          </w:p>
        </w:tc>
        <w:tc>
          <w:tcPr>
            <w:tcW w:w="2426" w:type="dxa"/>
            <w:vAlign w:val="center"/>
          </w:tcPr>
          <w:p>
            <w:pPr>
              <w:spacing w:line="300" w:lineRule="auto"/>
              <w:jc w:val="center"/>
              <w:rPr>
                <w:rFonts w:ascii="宋体" w:hAnsi="宋体" w:cs="宋体"/>
                <w:color w:val="000000" w:themeColor="text1"/>
                <w:sz w:val="24"/>
              </w:rPr>
            </w:pPr>
          </w:p>
        </w:tc>
        <w:tc>
          <w:tcPr>
            <w:tcW w:w="1405" w:type="dxa"/>
            <w:vAlign w:val="center"/>
          </w:tcPr>
          <w:p>
            <w:pPr>
              <w:spacing w:line="300" w:lineRule="auto"/>
              <w:jc w:val="center"/>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cs="宋体"/>
                <w:color w:val="000000" w:themeColor="text1"/>
                <w:sz w:val="24"/>
              </w:rPr>
            </w:pPr>
            <w:r>
              <w:rPr>
                <w:rFonts w:ascii="宋体" w:cs="宋体"/>
                <w:color w:val="000000" w:themeColor="text1"/>
                <w:sz w:val="24"/>
              </w:rPr>
              <w:t>...</w:t>
            </w:r>
          </w:p>
        </w:tc>
        <w:tc>
          <w:tcPr>
            <w:tcW w:w="1994" w:type="dxa"/>
            <w:vAlign w:val="center"/>
          </w:tcPr>
          <w:p>
            <w:pPr>
              <w:spacing w:line="300" w:lineRule="auto"/>
              <w:jc w:val="center"/>
              <w:rPr>
                <w:rFonts w:ascii="宋体" w:cs="宋体"/>
                <w:color w:val="000000" w:themeColor="text1"/>
                <w:sz w:val="24"/>
              </w:rPr>
            </w:pPr>
          </w:p>
        </w:tc>
        <w:tc>
          <w:tcPr>
            <w:tcW w:w="2541" w:type="dxa"/>
            <w:vAlign w:val="center"/>
          </w:tcPr>
          <w:p>
            <w:pPr>
              <w:spacing w:line="300" w:lineRule="auto"/>
              <w:jc w:val="center"/>
              <w:rPr>
                <w:rFonts w:ascii="宋体" w:cs="宋体"/>
                <w:color w:val="000000" w:themeColor="text1"/>
                <w:sz w:val="24"/>
              </w:rPr>
            </w:pPr>
          </w:p>
        </w:tc>
        <w:tc>
          <w:tcPr>
            <w:tcW w:w="2426" w:type="dxa"/>
            <w:vAlign w:val="center"/>
          </w:tcPr>
          <w:p>
            <w:pPr>
              <w:spacing w:line="300" w:lineRule="auto"/>
              <w:jc w:val="center"/>
              <w:rPr>
                <w:rFonts w:ascii="宋体" w:cs="宋体"/>
                <w:color w:val="000000" w:themeColor="text1"/>
                <w:sz w:val="24"/>
              </w:rPr>
            </w:pPr>
          </w:p>
        </w:tc>
        <w:tc>
          <w:tcPr>
            <w:tcW w:w="1405" w:type="dxa"/>
            <w:vAlign w:val="center"/>
          </w:tcPr>
          <w:p>
            <w:pPr>
              <w:spacing w:line="300" w:lineRule="auto"/>
              <w:jc w:val="cente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cs="宋体"/>
                <w:color w:val="000000" w:themeColor="text1"/>
                <w:sz w:val="24"/>
              </w:rPr>
            </w:pPr>
          </w:p>
        </w:tc>
        <w:tc>
          <w:tcPr>
            <w:tcW w:w="1994" w:type="dxa"/>
            <w:vAlign w:val="center"/>
          </w:tcPr>
          <w:p>
            <w:pPr>
              <w:spacing w:line="300" w:lineRule="auto"/>
              <w:jc w:val="center"/>
              <w:rPr>
                <w:rFonts w:ascii="宋体" w:cs="宋体"/>
                <w:color w:val="000000" w:themeColor="text1"/>
                <w:sz w:val="24"/>
              </w:rPr>
            </w:pPr>
          </w:p>
        </w:tc>
        <w:tc>
          <w:tcPr>
            <w:tcW w:w="2541" w:type="dxa"/>
            <w:vAlign w:val="center"/>
          </w:tcPr>
          <w:p>
            <w:pPr>
              <w:spacing w:line="300" w:lineRule="auto"/>
              <w:jc w:val="center"/>
              <w:rPr>
                <w:rFonts w:ascii="宋体" w:cs="宋体"/>
                <w:color w:val="000000" w:themeColor="text1"/>
                <w:sz w:val="24"/>
              </w:rPr>
            </w:pPr>
          </w:p>
        </w:tc>
        <w:tc>
          <w:tcPr>
            <w:tcW w:w="2426" w:type="dxa"/>
            <w:vAlign w:val="center"/>
          </w:tcPr>
          <w:p>
            <w:pPr>
              <w:spacing w:line="300" w:lineRule="auto"/>
              <w:jc w:val="center"/>
              <w:rPr>
                <w:rFonts w:ascii="宋体" w:cs="宋体"/>
                <w:color w:val="000000" w:themeColor="text1"/>
                <w:sz w:val="24"/>
              </w:rPr>
            </w:pPr>
          </w:p>
        </w:tc>
        <w:tc>
          <w:tcPr>
            <w:tcW w:w="1405" w:type="dxa"/>
            <w:vAlign w:val="center"/>
          </w:tcPr>
          <w:p>
            <w:pPr>
              <w:spacing w:line="300" w:lineRule="auto"/>
              <w:jc w:val="cente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cs="宋体"/>
                <w:color w:val="000000" w:themeColor="text1"/>
                <w:sz w:val="24"/>
              </w:rPr>
            </w:pPr>
          </w:p>
        </w:tc>
        <w:tc>
          <w:tcPr>
            <w:tcW w:w="1994" w:type="dxa"/>
            <w:vAlign w:val="center"/>
          </w:tcPr>
          <w:p>
            <w:pPr>
              <w:spacing w:line="300" w:lineRule="auto"/>
              <w:jc w:val="center"/>
              <w:rPr>
                <w:rFonts w:ascii="宋体" w:cs="宋体"/>
                <w:color w:val="000000" w:themeColor="text1"/>
                <w:sz w:val="24"/>
              </w:rPr>
            </w:pPr>
          </w:p>
        </w:tc>
        <w:tc>
          <w:tcPr>
            <w:tcW w:w="2541" w:type="dxa"/>
            <w:vAlign w:val="center"/>
          </w:tcPr>
          <w:p>
            <w:pPr>
              <w:spacing w:line="300" w:lineRule="auto"/>
              <w:jc w:val="center"/>
              <w:rPr>
                <w:rFonts w:ascii="宋体" w:cs="宋体"/>
                <w:color w:val="000000" w:themeColor="text1"/>
                <w:sz w:val="24"/>
              </w:rPr>
            </w:pPr>
          </w:p>
        </w:tc>
        <w:tc>
          <w:tcPr>
            <w:tcW w:w="2426" w:type="dxa"/>
            <w:vAlign w:val="center"/>
          </w:tcPr>
          <w:p>
            <w:pPr>
              <w:spacing w:line="300" w:lineRule="auto"/>
              <w:jc w:val="center"/>
              <w:rPr>
                <w:rFonts w:ascii="宋体" w:cs="宋体"/>
                <w:color w:val="000000" w:themeColor="text1"/>
                <w:sz w:val="24"/>
              </w:rPr>
            </w:pPr>
          </w:p>
        </w:tc>
        <w:tc>
          <w:tcPr>
            <w:tcW w:w="1405" w:type="dxa"/>
            <w:vAlign w:val="center"/>
          </w:tcPr>
          <w:p>
            <w:pPr>
              <w:spacing w:line="300" w:lineRule="auto"/>
              <w:jc w:val="cente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cs="宋体"/>
                <w:color w:val="000000" w:themeColor="text1"/>
                <w:sz w:val="24"/>
              </w:rPr>
            </w:pPr>
          </w:p>
        </w:tc>
        <w:tc>
          <w:tcPr>
            <w:tcW w:w="1994" w:type="dxa"/>
            <w:vAlign w:val="center"/>
          </w:tcPr>
          <w:p>
            <w:pPr>
              <w:spacing w:line="300" w:lineRule="auto"/>
              <w:jc w:val="center"/>
              <w:rPr>
                <w:rFonts w:ascii="宋体" w:cs="宋体"/>
                <w:color w:val="000000" w:themeColor="text1"/>
                <w:sz w:val="24"/>
              </w:rPr>
            </w:pPr>
          </w:p>
        </w:tc>
        <w:tc>
          <w:tcPr>
            <w:tcW w:w="2541" w:type="dxa"/>
            <w:vAlign w:val="center"/>
          </w:tcPr>
          <w:p>
            <w:pPr>
              <w:spacing w:line="300" w:lineRule="auto"/>
              <w:jc w:val="center"/>
              <w:rPr>
                <w:rFonts w:ascii="宋体" w:cs="宋体"/>
                <w:color w:val="000000" w:themeColor="text1"/>
                <w:sz w:val="24"/>
              </w:rPr>
            </w:pPr>
          </w:p>
        </w:tc>
        <w:tc>
          <w:tcPr>
            <w:tcW w:w="2426" w:type="dxa"/>
            <w:vAlign w:val="center"/>
          </w:tcPr>
          <w:p>
            <w:pPr>
              <w:spacing w:line="300" w:lineRule="auto"/>
              <w:jc w:val="center"/>
              <w:rPr>
                <w:rFonts w:ascii="宋体" w:cs="宋体"/>
                <w:color w:val="000000" w:themeColor="text1"/>
                <w:sz w:val="24"/>
              </w:rPr>
            </w:pPr>
          </w:p>
        </w:tc>
        <w:tc>
          <w:tcPr>
            <w:tcW w:w="1405" w:type="dxa"/>
            <w:vAlign w:val="center"/>
          </w:tcPr>
          <w:p>
            <w:pPr>
              <w:spacing w:line="300" w:lineRule="auto"/>
              <w:jc w:val="center"/>
              <w:rPr>
                <w:rFonts w:asci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714" w:type="dxa"/>
            <w:vAlign w:val="center"/>
          </w:tcPr>
          <w:p>
            <w:pPr>
              <w:spacing w:line="300" w:lineRule="auto"/>
              <w:jc w:val="center"/>
              <w:rPr>
                <w:rFonts w:ascii="宋体" w:cs="宋体"/>
                <w:color w:val="000000" w:themeColor="text1"/>
                <w:sz w:val="24"/>
              </w:rPr>
            </w:pPr>
          </w:p>
        </w:tc>
        <w:tc>
          <w:tcPr>
            <w:tcW w:w="1994" w:type="dxa"/>
            <w:vAlign w:val="center"/>
          </w:tcPr>
          <w:p>
            <w:pPr>
              <w:spacing w:line="300" w:lineRule="auto"/>
              <w:jc w:val="center"/>
              <w:rPr>
                <w:rFonts w:ascii="宋体" w:cs="宋体"/>
                <w:color w:val="000000" w:themeColor="text1"/>
                <w:sz w:val="24"/>
              </w:rPr>
            </w:pPr>
          </w:p>
        </w:tc>
        <w:tc>
          <w:tcPr>
            <w:tcW w:w="2541" w:type="dxa"/>
            <w:vAlign w:val="center"/>
          </w:tcPr>
          <w:p>
            <w:pPr>
              <w:spacing w:line="300" w:lineRule="auto"/>
              <w:jc w:val="center"/>
              <w:rPr>
                <w:rFonts w:ascii="宋体" w:cs="宋体"/>
                <w:color w:val="000000" w:themeColor="text1"/>
                <w:sz w:val="24"/>
              </w:rPr>
            </w:pPr>
          </w:p>
        </w:tc>
        <w:tc>
          <w:tcPr>
            <w:tcW w:w="2426" w:type="dxa"/>
            <w:vAlign w:val="center"/>
          </w:tcPr>
          <w:p>
            <w:pPr>
              <w:spacing w:line="300" w:lineRule="auto"/>
              <w:jc w:val="center"/>
              <w:rPr>
                <w:rFonts w:ascii="宋体" w:cs="宋体"/>
                <w:color w:val="000000" w:themeColor="text1"/>
                <w:sz w:val="24"/>
              </w:rPr>
            </w:pPr>
          </w:p>
        </w:tc>
        <w:tc>
          <w:tcPr>
            <w:tcW w:w="1405" w:type="dxa"/>
            <w:vAlign w:val="center"/>
          </w:tcPr>
          <w:p>
            <w:pPr>
              <w:spacing w:line="300" w:lineRule="auto"/>
              <w:jc w:val="center"/>
              <w:rPr>
                <w:rFonts w:ascii="宋体" w:cs="宋体"/>
                <w:color w:val="000000" w:themeColor="text1"/>
                <w:sz w:val="24"/>
              </w:rPr>
            </w:pPr>
          </w:p>
        </w:tc>
      </w:tr>
    </w:tbl>
    <w:p>
      <w:pPr>
        <w:spacing w:after="120" w:line="360" w:lineRule="auto"/>
        <w:rPr>
          <w:rFonts w:ascii="宋体" w:cs="宋体"/>
          <w:color w:val="000000" w:themeColor="text1"/>
          <w:sz w:val="24"/>
        </w:rPr>
      </w:pPr>
    </w:p>
    <w:p>
      <w:pPr>
        <w:pStyle w:val="5"/>
        <w:ind w:left="420" w:hanging="420" w:hangingChars="200"/>
        <w:rPr>
          <w:rFonts w:cs="宋体"/>
          <w:color w:val="000000" w:themeColor="text1"/>
          <w:sz w:val="21"/>
          <w:szCs w:val="21"/>
        </w:rPr>
      </w:pPr>
      <w:r>
        <w:rPr>
          <w:rFonts w:hint="eastAsia" w:hAnsi="宋体" w:cs="宋体"/>
          <w:color w:val="000000" w:themeColor="text1"/>
          <w:sz w:val="21"/>
          <w:szCs w:val="21"/>
        </w:rPr>
        <w:t>注：</w:t>
      </w:r>
      <w:r>
        <w:rPr>
          <w:rFonts w:hAnsi="宋体" w:cs="宋体"/>
          <w:color w:val="000000" w:themeColor="text1"/>
          <w:sz w:val="21"/>
          <w:szCs w:val="21"/>
        </w:rPr>
        <w:t>1</w:t>
      </w:r>
      <w:r>
        <w:rPr>
          <w:rFonts w:hint="eastAsia" w:hAnsi="宋体" w:cs="宋体"/>
          <w:color w:val="000000" w:themeColor="text1"/>
          <w:sz w:val="21"/>
          <w:szCs w:val="21"/>
        </w:rPr>
        <w:t>、“偏离说明”一栏必须写明偏离情况，不得以“满足”代替，若无偏离则填写“无”。</w:t>
      </w:r>
    </w:p>
    <w:p>
      <w:pPr>
        <w:spacing w:after="120" w:line="360" w:lineRule="auto"/>
        <w:rPr>
          <w:rFonts w:ascii="宋体" w:cs="宋体"/>
          <w:color w:val="000000" w:themeColor="text1"/>
          <w:szCs w:val="21"/>
        </w:rPr>
      </w:pPr>
      <w:r>
        <w:rPr>
          <w:rFonts w:ascii="宋体" w:hAnsi="宋体" w:cs="宋体"/>
          <w:snapToGrid w:val="0"/>
          <w:color w:val="000000" w:themeColor="text1"/>
          <w:szCs w:val="21"/>
        </w:rPr>
        <w:t xml:space="preserve">    2</w:t>
      </w:r>
      <w:r>
        <w:rPr>
          <w:rFonts w:hint="eastAsia" w:ascii="宋体" w:hAnsi="宋体" w:cs="宋体"/>
          <w:snapToGrid w:val="0"/>
          <w:color w:val="000000" w:themeColor="text1"/>
          <w:szCs w:val="21"/>
        </w:rPr>
        <w:t>、</w:t>
      </w:r>
      <w:r>
        <w:rPr>
          <w:rFonts w:hint="eastAsia" w:ascii="宋体" w:hAnsi="宋体" w:cs="宋体"/>
          <w:color w:val="000000" w:themeColor="text1"/>
          <w:szCs w:val="21"/>
        </w:rPr>
        <w:t>若投标人未列出但经审查确实存在或在以后的合同执行中发现技术偏离，投标人应弥补这些偏离并不能要求改变投标价格或合同价格。否则将被作为无效标处理或合同违约。</w:t>
      </w:r>
    </w:p>
    <w:p>
      <w:pPr>
        <w:spacing w:line="360" w:lineRule="auto"/>
        <w:jc w:val="right"/>
        <w:rPr>
          <w:rFonts w:ascii="宋体"/>
          <w:color w:val="000000" w:themeColor="text1"/>
          <w:szCs w:val="21"/>
        </w:rPr>
      </w:pPr>
      <w:bookmarkStart w:id="363" w:name="_Toc481502118"/>
      <w:bookmarkStart w:id="364" w:name="_Toc414956977"/>
      <w:bookmarkStart w:id="365" w:name="_Toc398716806"/>
      <w:bookmarkStart w:id="366" w:name="_Toc334486171"/>
      <w:bookmarkStart w:id="367" w:name="_Toc306268523"/>
      <w:r>
        <w:rPr>
          <w:rFonts w:hint="eastAsia" w:ascii="宋体" w:hAnsi="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olor w:val="000000" w:themeColor="text1"/>
          <w:szCs w:val="21"/>
        </w:rPr>
        <w:t>（盖单位章）</w:t>
      </w:r>
    </w:p>
    <w:p>
      <w:pPr>
        <w:spacing w:line="360" w:lineRule="auto"/>
        <w:jc w:val="right"/>
        <w:rPr>
          <w:rFonts w:ascii="宋体"/>
          <w:color w:val="000000" w:themeColor="text1"/>
          <w:szCs w:val="21"/>
        </w:rPr>
      </w:pPr>
      <w:r>
        <w:rPr>
          <w:rFonts w:hint="eastAsia" w:ascii="宋体" w:hAnsi="宋体"/>
          <w:color w:val="000000" w:themeColor="text1"/>
          <w:szCs w:val="21"/>
        </w:rPr>
        <w:t>法定代表人或其委托代理人：</w:t>
      </w:r>
      <w:r>
        <w:rPr>
          <w:rFonts w:ascii="宋体" w:hAnsi="宋体" w:cs="宋体"/>
          <w:color w:val="000000" w:themeColor="text1"/>
          <w:szCs w:val="21"/>
          <w:u w:val="single"/>
        </w:rPr>
        <w:t xml:space="preserve">                     </w:t>
      </w:r>
      <w:r>
        <w:rPr>
          <w:rFonts w:hint="eastAsia" w:ascii="宋体" w:hAnsi="宋体"/>
          <w:color w:val="000000" w:themeColor="text1"/>
          <w:szCs w:val="21"/>
        </w:rPr>
        <w:t>（签字或盖章）</w:t>
      </w:r>
    </w:p>
    <w:p>
      <w:pPr>
        <w:spacing w:line="360" w:lineRule="auto"/>
        <w:jc w:val="right"/>
        <w:rPr>
          <w:rFonts w:ascii="宋体"/>
          <w:color w:val="000000" w:themeColor="text1"/>
          <w:szCs w:val="21"/>
        </w:rPr>
      </w:pPr>
    </w:p>
    <w:p>
      <w:pPr>
        <w:spacing w:line="360" w:lineRule="auto"/>
        <w:jc w:val="right"/>
        <w:rPr>
          <w:rFonts w:ascii="宋体"/>
          <w:color w:val="000000" w:themeColor="text1"/>
          <w:szCs w:val="21"/>
        </w:rPr>
      </w:pPr>
      <w:r>
        <w:rPr>
          <w:rFonts w:ascii="宋体" w:hAnsi="宋体" w:cs="宋体"/>
          <w:color w:val="000000" w:themeColor="text1"/>
          <w:szCs w:val="21"/>
          <w:u w:val="single"/>
        </w:rPr>
        <w:t xml:space="preserve">    </w:t>
      </w:r>
      <w:r>
        <w:rPr>
          <w:rFonts w:hint="eastAsia" w:ascii="宋体" w:hAnsi="宋体"/>
          <w:color w:val="000000" w:themeColor="text1"/>
          <w:szCs w:val="21"/>
        </w:rPr>
        <w:t>年</w:t>
      </w:r>
      <w:r>
        <w:rPr>
          <w:rFonts w:ascii="宋体" w:hAnsi="宋体" w:cs="宋体"/>
          <w:color w:val="000000" w:themeColor="text1"/>
          <w:szCs w:val="21"/>
          <w:u w:val="single"/>
        </w:rPr>
        <w:t xml:space="preserve">    </w:t>
      </w:r>
      <w:r>
        <w:rPr>
          <w:rFonts w:hint="eastAsia" w:ascii="宋体" w:hAnsi="宋体"/>
          <w:color w:val="000000" w:themeColor="text1"/>
          <w:szCs w:val="21"/>
        </w:rPr>
        <w:t>月</w:t>
      </w:r>
      <w:r>
        <w:rPr>
          <w:rFonts w:ascii="宋体" w:hAnsi="宋体" w:cs="宋体"/>
          <w:color w:val="000000" w:themeColor="text1"/>
          <w:szCs w:val="21"/>
          <w:u w:val="single"/>
        </w:rPr>
        <w:t xml:space="preserve">    </w:t>
      </w:r>
      <w:r>
        <w:rPr>
          <w:rFonts w:hint="eastAsia" w:ascii="宋体" w:hAnsi="宋体"/>
          <w:color w:val="000000" w:themeColor="text1"/>
          <w:szCs w:val="21"/>
        </w:rPr>
        <w:t>日</w:t>
      </w:r>
    </w:p>
    <w:p>
      <w:pPr>
        <w:pStyle w:val="5"/>
        <w:rPr>
          <w:color w:val="000000" w:themeColor="text1"/>
        </w:rPr>
      </w:pPr>
    </w:p>
    <w:bookmarkEnd w:id="363"/>
    <w:bookmarkEnd w:id="364"/>
    <w:bookmarkEnd w:id="365"/>
    <w:bookmarkEnd w:id="366"/>
    <w:bookmarkEnd w:id="367"/>
    <w:p>
      <w:pPr>
        <w:jc w:val="center"/>
        <w:rPr>
          <w:b/>
          <w:color w:val="000000" w:themeColor="text1"/>
          <w:szCs w:val="21"/>
        </w:rPr>
      </w:pPr>
      <w:bookmarkStart w:id="368" w:name="_Toc417568003"/>
      <w:r>
        <w:rPr>
          <w:rFonts w:hint="eastAsia"/>
          <w:b/>
          <w:color w:val="000000" w:themeColor="text1"/>
          <w:szCs w:val="21"/>
        </w:rPr>
        <w:t>五、所投货物技术文件</w:t>
      </w:r>
    </w:p>
    <w:p>
      <w:pPr>
        <w:spacing w:line="440" w:lineRule="exact"/>
        <w:ind w:firstLine="482" w:firstLineChars="200"/>
        <w:jc w:val="center"/>
        <w:rPr>
          <w:rFonts w:ascii="宋体" w:cs="宋体"/>
          <w:b/>
          <w:color w:val="000000" w:themeColor="text1"/>
          <w:sz w:val="24"/>
        </w:rPr>
      </w:pPr>
      <w:r>
        <w:rPr>
          <w:rFonts w:ascii="宋体" w:cs="宋体"/>
          <w:b/>
          <w:color w:val="000000" w:themeColor="text1"/>
          <w:sz w:val="24"/>
        </w:rPr>
        <w:br w:type="page"/>
      </w:r>
      <w:r>
        <w:rPr>
          <w:rFonts w:hint="eastAsia" w:ascii="宋体" w:hAnsi="宋体" w:cs="宋体"/>
          <w:b/>
          <w:color w:val="000000" w:themeColor="text1"/>
          <w:sz w:val="24"/>
        </w:rPr>
        <w:t>六、优惠承诺</w:t>
      </w:r>
    </w:p>
    <w:p>
      <w:pPr>
        <w:spacing w:line="440" w:lineRule="exact"/>
        <w:ind w:firstLine="482" w:firstLineChars="200"/>
        <w:rPr>
          <w:rFonts w:ascii="宋体" w:cs="宋体"/>
          <w:b/>
          <w:color w:val="000000" w:themeColor="text1"/>
          <w:sz w:val="24"/>
        </w:rPr>
      </w:pPr>
    </w:p>
    <w:p>
      <w:pPr>
        <w:spacing w:line="440" w:lineRule="exact"/>
        <w:ind w:firstLine="482" w:firstLineChars="200"/>
        <w:jc w:val="center"/>
        <w:rPr>
          <w:rFonts w:ascii="宋体" w:cs="宋体"/>
          <w:b/>
          <w:color w:val="000000" w:themeColor="text1"/>
          <w:sz w:val="24"/>
        </w:rPr>
      </w:pPr>
    </w:p>
    <w:p>
      <w:pPr>
        <w:spacing w:line="440" w:lineRule="exact"/>
        <w:ind w:firstLine="482" w:firstLineChars="200"/>
        <w:jc w:val="center"/>
        <w:rPr>
          <w:rFonts w:ascii="宋体" w:cs="宋体"/>
          <w:b/>
          <w:color w:val="000000" w:themeColor="text1"/>
          <w:sz w:val="24"/>
          <w:szCs w:val="24"/>
        </w:rPr>
      </w:pPr>
      <w:r>
        <w:rPr>
          <w:rFonts w:ascii="宋体" w:cs="宋体"/>
          <w:b/>
          <w:color w:val="000000" w:themeColor="text1"/>
          <w:sz w:val="24"/>
        </w:rPr>
        <w:br w:type="page"/>
      </w:r>
      <w:r>
        <w:rPr>
          <w:rFonts w:hint="eastAsia" w:ascii="宋体" w:hAnsi="宋体" w:cs="宋体"/>
          <w:b/>
          <w:color w:val="000000" w:themeColor="text1"/>
          <w:sz w:val="24"/>
          <w:szCs w:val="24"/>
        </w:rPr>
        <w:t>七、售后服务方案与技术培训</w:t>
      </w:r>
    </w:p>
    <w:p>
      <w:pPr>
        <w:spacing w:line="440" w:lineRule="exact"/>
        <w:ind w:firstLine="482" w:firstLineChars="200"/>
        <w:jc w:val="center"/>
        <w:rPr>
          <w:rFonts w:ascii="宋体" w:cs="宋体"/>
          <w:b/>
          <w:color w:val="000000" w:themeColor="text1"/>
          <w:sz w:val="24"/>
        </w:rPr>
      </w:pPr>
      <w:r>
        <w:rPr>
          <w:rFonts w:ascii="宋体" w:cs="宋体"/>
          <w:b/>
          <w:color w:val="000000" w:themeColor="text1"/>
          <w:sz w:val="24"/>
        </w:rPr>
        <w:br w:type="page"/>
      </w:r>
      <w:r>
        <w:rPr>
          <w:rFonts w:hint="eastAsia" w:ascii="宋体" w:hAnsi="宋体" w:cs="宋体"/>
          <w:b/>
          <w:color w:val="000000" w:themeColor="text1"/>
          <w:sz w:val="24"/>
        </w:rPr>
        <w:t>八、综合材料</w:t>
      </w:r>
      <w:bookmarkEnd w:id="368"/>
    </w:p>
    <w:p>
      <w:pPr>
        <w:spacing w:line="360" w:lineRule="auto"/>
        <w:rPr>
          <w:rFonts w:ascii="宋体" w:cs="宋体"/>
          <w:b/>
          <w:color w:val="000000" w:themeColor="text1"/>
          <w:szCs w:val="21"/>
        </w:rPr>
      </w:pPr>
      <w:r>
        <w:rPr>
          <w:rFonts w:ascii="宋体" w:hAnsi="宋体" w:cs="宋体"/>
          <w:b/>
          <w:color w:val="000000" w:themeColor="text1"/>
          <w:szCs w:val="21"/>
        </w:rPr>
        <w:t>1</w:t>
      </w:r>
      <w:r>
        <w:rPr>
          <w:rFonts w:hint="eastAsia" w:ascii="宋体" w:hAnsi="宋体" w:cs="宋体"/>
          <w:b/>
          <w:color w:val="000000" w:themeColor="text1"/>
          <w:szCs w:val="21"/>
        </w:rPr>
        <w:t>、资格审查资料：</w:t>
      </w:r>
    </w:p>
    <w:p>
      <w:pPr>
        <w:spacing w:line="360" w:lineRule="auto"/>
        <w:ind w:firstLine="420" w:firstLineChars="200"/>
        <w:rPr>
          <w:rFonts w:ascii="宋体" w:cs="宋体"/>
          <w:color w:val="000000" w:themeColor="text1"/>
          <w:szCs w:val="21"/>
        </w:rPr>
      </w:pPr>
    </w:p>
    <w:p>
      <w:pPr>
        <w:jc w:val="left"/>
        <w:rPr>
          <w:b/>
          <w:color w:val="000000" w:themeColor="text1"/>
          <w:szCs w:val="21"/>
        </w:rPr>
      </w:pPr>
    </w:p>
    <w:p>
      <w:pPr>
        <w:jc w:val="left"/>
        <w:rPr>
          <w:b/>
          <w:color w:val="000000" w:themeColor="text1"/>
          <w:szCs w:val="21"/>
        </w:rPr>
      </w:pPr>
    </w:p>
    <w:p>
      <w:pPr>
        <w:spacing w:line="360" w:lineRule="auto"/>
        <w:rPr>
          <w:rFonts w:ascii="宋体" w:cs="宋体"/>
          <w:b/>
          <w:color w:val="000000" w:themeColor="text1"/>
          <w:szCs w:val="21"/>
        </w:rPr>
      </w:pPr>
      <w:r>
        <w:rPr>
          <w:rFonts w:ascii="宋体" w:hAnsi="宋体" w:cs="宋体"/>
          <w:b/>
          <w:color w:val="000000" w:themeColor="text1"/>
          <w:szCs w:val="21"/>
        </w:rPr>
        <w:t>2</w:t>
      </w:r>
      <w:r>
        <w:rPr>
          <w:rFonts w:hint="eastAsia" w:ascii="宋体" w:hAnsi="宋体" w:cs="宋体"/>
          <w:b/>
          <w:color w:val="000000" w:themeColor="text1"/>
          <w:szCs w:val="21"/>
        </w:rPr>
        <w:t>、反商业贿赂承诺书</w:t>
      </w:r>
    </w:p>
    <w:p>
      <w:pPr>
        <w:spacing w:line="360" w:lineRule="auto"/>
        <w:jc w:val="center"/>
        <w:textAlignment w:val="baseline"/>
        <w:rPr>
          <w:rFonts w:ascii="宋体" w:cs="宋体"/>
          <w:b/>
          <w:color w:val="000000" w:themeColor="text1"/>
          <w:szCs w:val="21"/>
        </w:rPr>
      </w:pPr>
      <w:r>
        <w:rPr>
          <w:rFonts w:hint="eastAsia" w:ascii="宋体" w:hAnsi="宋体" w:cs="宋体"/>
          <w:b/>
          <w:color w:val="000000" w:themeColor="text1"/>
          <w:szCs w:val="21"/>
        </w:rPr>
        <w:t>反商业贿赂承诺书</w:t>
      </w:r>
    </w:p>
    <w:p>
      <w:pPr>
        <w:spacing w:line="360" w:lineRule="auto"/>
        <w:rPr>
          <w:rFonts w:ascii="宋体" w:cs="宋体"/>
          <w:color w:val="000000" w:themeColor="text1"/>
          <w:szCs w:val="21"/>
        </w:rPr>
      </w:pPr>
    </w:p>
    <w:p>
      <w:pPr>
        <w:spacing w:line="360" w:lineRule="auto"/>
        <w:rPr>
          <w:rFonts w:ascii="宋体" w:cs="宋体"/>
          <w:color w:val="000000" w:themeColor="text1"/>
          <w:szCs w:val="21"/>
        </w:rPr>
      </w:pPr>
      <w:r>
        <w:rPr>
          <w:rFonts w:hint="eastAsia" w:ascii="宋体" w:hAnsi="宋体" w:cs="宋体"/>
          <w:color w:val="000000" w:themeColor="text1"/>
          <w:szCs w:val="21"/>
        </w:rPr>
        <w:t>我公司承诺：</w:t>
      </w:r>
    </w:p>
    <w:p>
      <w:pPr>
        <w:spacing w:line="360" w:lineRule="auto"/>
        <w:rPr>
          <w:rFonts w:ascii="宋体" w:cs="宋体"/>
          <w:color w:val="000000" w:themeColor="text1"/>
          <w:szCs w:val="21"/>
        </w:rPr>
      </w:pPr>
      <w:r>
        <w:rPr>
          <w:rFonts w:hint="eastAsia" w:ascii="宋体" w:hAnsi="宋体" w:cs="宋体"/>
          <w:color w:val="000000" w:themeColor="text1"/>
          <w:szCs w:val="21"/>
        </w:rPr>
        <w:t>在</w:t>
      </w:r>
      <w:r>
        <w:rPr>
          <w:rFonts w:hint="eastAsia" w:ascii="宋体" w:hAnsi="宋体" w:cs="宋体"/>
          <w:color w:val="000000" w:themeColor="text1"/>
          <w:szCs w:val="21"/>
          <w:u w:val="single"/>
        </w:rPr>
        <w:t xml:space="preserve">        项目名称</w:t>
      </w:r>
      <w:r>
        <w:rPr>
          <w:rFonts w:hint="eastAsia" w:ascii="宋体" w:hAnsi="宋体" w:cs="宋体"/>
          <w:color w:val="000000" w:themeColor="text1"/>
          <w:szCs w:val="21"/>
        </w:rPr>
        <w:t>（项目编号为：</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）采购活动中，我方保证做到：</w:t>
      </w:r>
    </w:p>
    <w:p>
      <w:pPr>
        <w:spacing w:line="360" w:lineRule="auto"/>
        <w:rPr>
          <w:rFonts w:ascii="宋体" w:cs="宋体"/>
          <w:color w:val="000000" w:themeColor="text1"/>
          <w:szCs w:val="21"/>
        </w:rPr>
      </w:pPr>
      <w:r>
        <w:rPr>
          <w:rFonts w:hint="eastAsia" w:ascii="宋体" w:hAnsi="宋体" w:cs="宋体"/>
          <w:color w:val="000000" w:themeColor="text1"/>
          <w:szCs w:val="21"/>
        </w:rPr>
        <w:t>一、公平竞争参加本次采购活动。</w:t>
      </w:r>
    </w:p>
    <w:p>
      <w:pPr>
        <w:spacing w:line="360" w:lineRule="auto"/>
        <w:rPr>
          <w:rFonts w:ascii="宋体" w:cs="宋体"/>
          <w:color w:val="000000" w:themeColor="text1"/>
          <w:szCs w:val="21"/>
        </w:rPr>
      </w:pPr>
      <w:r>
        <w:rPr>
          <w:rFonts w:hint="eastAsia" w:ascii="宋体" w:hAnsi="宋体" w:cs="宋体"/>
          <w:color w:val="000000" w:themeColor="text1"/>
          <w:szCs w:val="21"/>
        </w:rPr>
        <w:t>二、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pPr>
        <w:spacing w:line="360" w:lineRule="auto"/>
        <w:rPr>
          <w:rFonts w:ascii="宋体" w:cs="宋体"/>
          <w:color w:val="000000" w:themeColor="text1"/>
          <w:szCs w:val="21"/>
        </w:rPr>
      </w:pPr>
      <w:r>
        <w:rPr>
          <w:rFonts w:hint="eastAsia" w:ascii="宋体" w:hAnsi="宋体" w:cs="宋体"/>
          <w:color w:val="000000" w:themeColor="text1"/>
          <w:szCs w:val="21"/>
        </w:rPr>
        <w:t>三、若出现上述行为，我方及参与谈判的工作人员愿意接受按照国家法律法规等有关规定给予的处罚。</w:t>
      </w:r>
    </w:p>
    <w:p>
      <w:pPr>
        <w:spacing w:line="360" w:lineRule="auto"/>
        <w:rPr>
          <w:rFonts w:ascii="宋体" w:cs="宋体"/>
          <w:color w:val="000000" w:themeColor="text1"/>
          <w:szCs w:val="21"/>
        </w:rPr>
      </w:pPr>
    </w:p>
    <w:p>
      <w:pPr>
        <w:spacing w:line="360" w:lineRule="auto"/>
        <w:jc w:val="right"/>
        <w:rPr>
          <w:rFonts w:ascii="宋体"/>
          <w:color w:val="000000" w:themeColor="text1"/>
          <w:szCs w:val="21"/>
        </w:rPr>
      </w:pPr>
      <w:r>
        <w:rPr>
          <w:rFonts w:hint="eastAsia" w:ascii="宋体" w:hAnsi="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olor w:val="000000" w:themeColor="text1"/>
          <w:szCs w:val="21"/>
        </w:rPr>
        <w:t>（盖单位章）</w:t>
      </w:r>
    </w:p>
    <w:p>
      <w:pPr>
        <w:spacing w:line="360" w:lineRule="auto"/>
        <w:jc w:val="right"/>
        <w:rPr>
          <w:rFonts w:ascii="宋体"/>
          <w:color w:val="000000" w:themeColor="text1"/>
          <w:szCs w:val="21"/>
        </w:rPr>
      </w:pPr>
      <w:r>
        <w:rPr>
          <w:rFonts w:hint="eastAsia" w:ascii="宋体" w:hAnsi="宋体"/>
          <w:color w:val="000000" w:themeColor="text1"/>
          <w:szCs w:val="21"/>
        </w:rPr>
        <w:t>法定代表人或其委托代理人：</w:t>
      </w:r>
      <w:r>
        <w:rPr>
          <w:rFonts w:ascii="宋体" w:hAnsi="宋体" w:cs="宋体"/>
          <w:color w:val="000000" w:themeColor="text1"/>
          <w:szCs w:val="21"/>
          <w:u w:val="single"/>
        </w:rPr>
        <w:t xml:space="preserve">                     </w:t>
      </w:r>
      <w:r>
        <w:rPr>
          <w:rFonts w:hint="eastAsia" w:ascii="宋体" w:hAnsi="宋体"/>
          <w:color w:val="000000" w:themeColor="text1"/>
          <w:szCs w:val="21"/>
        </w:rPr>
        <w:t>（签字）</w:t>
      </w:r>
    </w:p>
    <w:p>
      <w:pPr>
        <w:spacing w:line="360" w:lineRule="auto"/>
        <w:jc w:val="right"/>
        <w:rPr>
          <w:rFonts w:ascii="宋体"/>
          <w:color w:val="000000" w:themeColor="text1"/>
          <w:szCs w:val="21"/>
        </w:rPr>
      </w:pPr>
    </w:p>
    <w:p>
      <w:pPr>
        <w:spacing w:line="360" w:lineRule="auto"/>
        <w:jc w:val="right"/>
        <w:rPr>
          <w:rFonts w:ascii="宋体"/>
          <w:color w:val="000000" w:themeColor="text1"/>
          <w:szCs w:val="21"/>
        </w:rPr>
      </w:pPr>
      <w:r>
        <w:rPr>
          <w:rFonts w:ascii="宋体" w:hAnsi="宋体" w:cs="宋体"/>
          <w:color w:val="000000" w:themeColor="text1"/>
          <w:szCs w:val="21"/>
          <w:u w:val="single"/>
        </w:rPr>
        <w:t xml:space="preserve">    </w:t>
      </w:r>
      <w:r>
        <w:rPr>
          <w:rFonts w:hint="eastAsia" w:ascii="宋体" w:hAnsi="宋体"/>
          <w:color w:val="000000" w:themeColor="text1"/>
          <w:szCs w:val="21"/>
        </w:rPr>
        <w:t>年</w:t>
      </w:r>
      <w:r>
        <w:rPr>
          <w:rFonts w:ascii="宋体" w:hAnsi="宋体" w:cs="宋体"/>
          <w:color w:val="000000" w:themeColor="text1"/>
          <w:szCs w:val="21"/>
          <w:u w:val="single"/>
        </w:rPr>
        <w:t xml:space="preserve">    </w:t>
      </w:r>
      <w:r>
        <w:rPr>
          <w:rFonts w:hint="eastAsia" w:ascii="宋体" w:hAnsi="宋体"/>
          <w:color w:val="000000" w:themeColor="text1"/>
          <w:szCs w:val="21"/>
        </w:rPr>
        <w:t>月</w:t>
      </w:r>
      <w:r>
        <w:rPr>
          <w:rFonts w:ascii="宋体" w:hAnsi="宋体" w:cs="宋体"/>
          <w:color w:val="000000" w:themeColor="text1"/>
          <w:szCs w:val="21"/>
          <w:u w:val="single"/>
        </w:rPr>
        <w:t xml:space="preserve">    </w:t>
      </w:r>
      <w:r>
        <w:rPr>
          <w:rFonts w:hint="eastAsia" w:ascii="宋体" w:hAnsi="宋体"/>
          <w:color w:val="000000" w:themeColor="text1"/>
          <w:szCs w:val="21"/>
        </w:rPr>
        <w:t>日</w:t>
      </w:r>
    </w:p>
    <w:p>
      <w:pPr>
        <w:spacing w:line="360" w:lineRule="auto"/>
        <w:rPr>
          <w:rFonts w:ascii="宋体" w:cs="宋体"/>
          <w:color w:val="000000" w:themeColor="text1"/>
          <w:szCs w:val="21"/>
        </w:rPr>
      </w:pPr>
      <w:r>
        <w:rPr>
          <w:rFonts w:hint="eastAsia" w:ascii="宋体" w:hAnsi="宋体" w:cs="宋体"/>
          <w:color w:val="000000" w:themeColor="text1"/>
          <w:szCs w:val="21"/>
        </w:rPr>
        <w:t>注：本承诺书应由法定代表人或授权代理人签字并加盖公章，</w:t>
      </w:r>
      <w:r>
        <w:rPr>
          <w:rFonts w:hint="eastAsia" w:ascii="宋体" w:hAnsi="宋体" w:cs="宋体"/>
          <w:bCs/>
          <w:color w:val="000000" w:themeColor="text1"/>
          <w:szCs w:val="21"/>
        </w:rPr>
        <w:t>否则视为无效文件</w:t>
      </w:r>
      <w:r>
        <w:rPr>
          <w:rFonts w:hint="eastAsia" w:ascii="宋体" w:hAnsi="宋体" w:cs="宋体"/>
          <w:color w:val="000000" w:themeColor="text1"/>
          <w:szCs w:val="21"/>
        </w:rPr>
        <w:t>。</w:t>
      </w:r>
    </w:p>
    <w:p>
      <w:pPr>
        <w:spacing w:line="360" w:lineRule="auto"/>
        <w:jc w:val="center"/>
        <w:rPr>
          <w:rFonts w:ascii="宋体" w:cs="宋体"/>
          <w:b/>
          <w:color w:val="000000" w:themeColor="text1"/>
          <w:szCs w:val="21"/>
        </w:rPr>
      </w:pPr>
    </w:p>
    <w:p>
      <w:pPr>
        <w:spacing w:line="400" w:lineRule="exact"/>
        <w:rPr>
          <w:rFonts w:ascii="宋体" w:cs="宋体"/>
          <w:b/>
          <w:color w:val="000000" w:themeColor="text1"/>
          <w:szCs w:val="21"/>
        </w:rPr>
      </w:pPr>
      <w:r>
        <w:rPr>
          <w:rFonts w:ascii="宋体" w:cs="宋体"/>
          <w:b/>
          <w:color w:val="000000" w:themeColor="text1"/>
          <w:szCs w:val="21"/>
        </w:rPr>
        <w:br w:type="page"/>
      </w:r>
      <w:r>
        <w:rPr>
          <w:rFonts w:ascii="宋体" w:hAnsi="宋体" w:cs="宋体"/>
          <w:b/>
          <w:color w:val="000000" w:themeColor="text1"/>
          <w:szCs w:val="21"/>
        </w:rPr>
        <w:t>3</w:t>
      </w:r>
      <w:r>
        <w:rPr>
          <w:rFonts w:hint="eastAsia" w:ascii="宋体" w:hAnsi="宋体" w:cs="宋体"/>
          <w:b/>
          <w:color w:val="000000" w:themeColor="text1"/>
          <w:szCs w:val="21"/>
        </w:rPr>
        <w:t>、采购项目承诺书</w:t>
      </w:r>
    </w:p>
    <w:p>
      <w:pPr>
        <w:spacing w:line="360" w:lineRule="exact"/>
        <w:jc w:val="center"/>
        <w:textAlignment w:val="baseline"/>
        <w:rPr>
          <w:rFonts w:ascii="宋体" w:cs="宋体"/>
          <w:b/>
          <w:color w:val="000000" w:themeColor="text1"/>
          <w:szCs w:val="21"/>
        </w:rPr>
      </w:pPr>
      <w:r>
        <w:rPr>
          <w:rFonts w:hint="eastAsia" w:ascii="宋体" w:hAnsi="宋体" w:cs="宋体"/>
          <w:b/>
          <w:color w:val="000000" w:themeColor="text1"/>
          <w:szCs w:val="21"/>
        </w:rPr>
        <w:t>采购项目承诺书</w:t>
      </w:r>
    </w:p>
    <w:p>
      <w:pPr>
        <w:spacing w:line="312" w:lineRule="auto"/>
        <w:rPr>
          <w:rFonts w:ascii="宋体" w:cs="宋体"/>
          <w:color w:val="000000" w:themeColor="text1"/>
          <w:szCs w:val="21"/>
        </w:rPr>
      </w:pPr>
      <w:r>
        <w:rPr>
          <w:rFonts w:hint="eastAsia" w:ascii="宋体" w:hAnsi="宋体" w:cs="宋体"/>
          <w:color w:val="000000" w:themeColor="text1"/>
          <w:szCs w:val="21"/>
        </w:rPr>
        <w:t>致：</w:t>
      </w:r>
      <w:r>
        <w:rPr>
          <w:rFonts w:hint="eastAsia" w:ascii="宋体" w:hAnsi="宋体" w:cs="宋体"/>
          <w:color w:val="000000" w:themeColor="text1"/>
          <w:szCs w:val="21"/>
          <w:u w:val="single"/>
        </w:rPr>
        <w:t>（采购人名称）</w:t>
      </w:r>
    </w:p>
    <w:p>
      <w:pPr>
        <w:spacing w:line="312" w:lineRule="auto"/>
        <w:ind w:firstLine="480"/>
        <w:rPr>
          <w:rFonts w:ascii="宋体" w:cs="宋体"/>
          <w:color w:val="000000" w:themeColor="text1"/>
          <w:szCs w:val="21"/>
        </w:rPr>
      </w:pPr>
      <w:r>
        <w:rPr>
          <w:rFonts w:hint="eastAsia" w:ascii="宋体" w:hAnsi="宋体" w:cs="宋体"/>
          <w:color w:val="000000" w:themeColor="text1"/>
          <w:szCs w:val="21"/>
        </w:rPr>
        <w:t>本承诺书作为我方参加</w:t>
      </w:r>
      <w:r>
        <w:rPr>
          <w:rFonts w:hint="eastAsia" w:ascii="宋体" w:hAnsi="宋体" w:cs="宋体"/>
          <w:color w:val="000000" w:themeColor="text1"/>
          <w:szCs w:val="21"/>
          <w:u w:val="single"/>
        </w:rPr>
        <w:t>项目名称</w:t>
      </w:r>
      <w:r>
        <w:rPr>
          <w:rFonts w:hint="eastAsia" w:ascii="宋体" w:hAnsi="宋体" w:cs="宋体"/>
          <w:color w:val="000000" w:themeColor="text1"/>
          <w:szCs w:val="21"/>
        </w:rPr>
        <w:t>（项目编号：）投标文件不可分割的一部分。我方参加本次投标特郑重作出如下承诺：</w:t>
      </w:r>
    </w:p>
    <w:p>
      <w:pPr>
        <w:spacing w:line="312" w:lineRule="auto"/>
        <w:ind w:left="17" w:firstLine="201" w:firstLineChars="96"/>
        <w:textAlignment w:val="baseline"/>
        <w:rPr>
          <w:rFonts w:ascii="宋体" w:cs="宋体"/>
          <w:bCs/>
          <w:color w:val="000000" w:themeColor="text1"/>
          <w:szCs w:val="21"/>
        </w:rPr>
      </w:pPr>
      <w:r>
        <w:rPr>
          <w:rFonts w:ascii="宋体" w:hAnsi="宋体" w:cs="宋体"/>
          <w:bCs/>
          <w:color w:val="000000" w:themeColor="text1"/>
          <w:szCs w:val="21"/>
        </w:rPr>
        <w:t xml:space="preserve">   1</w:t>
      </w:r>
      <w:r>
        <w:rPr>
          <w:rFonts w:hint="eastAsia" w:ascii="宋体" w:hAnsi="宋体" w:cs="宋体"/>
          <w:bCs/>
          <w:color w:val="000000" w:themeColor="text1"/>
          <w:szCs w:val="21"/>
        </w:rPr>
        <w:t>、我方已经过详细市场调查，本次所投报产品货源充足，保证不会出现无货、断货现象；</w:t>
      </w:r>
    </w:p>
    <w:p>
      <w:pPr>
        <w:spacing w:line="312" w:lineRule="auto"/>
        <w:ind w:firstLine="476" w:firstLineChars="227"/>
        <w:rPr>
          <w:rFonts w:ascii="宋体" w:cs="宋体"/>
          <w:bCs/>
          <w:color w:val="000000" w:themeColor="text1"/>
          <w:szCs w:val="21"/>
        </w:rPr>
      </w:pPr>
      <w:r>
        <w:rPr>
          <w:rFonts w:ascii="宋体" w:hAnsi="宋体" w:cs="宋体"/>
          <w:bCs/>
          <w:color w:val="000000" w:themeColor="text1"/>
          <w:szCs w:val="21"/>
        </w:rPr>
        <w:t>2</w:t>
      </w:r>
      <w:r>
        <w:rPr>
          <w:rFonts w:hint="eastAsia" w:ascii="宋体" w:hAnsi="宋体" w:cs="宋体"/>
          <w:bCs/>
          <w:color w:val="000000" w:themeColor="text1"/>
          <w:szCs w:val="21"/>
        </w:rPr>
        <w:t>、我方将严格履行招标文件中规定的每一项要求，按所投产品的品牌、型号及约定的交货（完工）期保质、保量提交货物和相关服务，</w:t>
      </w:r>
      <w:r>
        <w:rPr>
          <w:rFonts w:hint="eastAsia" w:ascii="宋体" w:hAnsi="宋体" w:cs="宋体"/>
          <w:color w:val="000000" w:themeColor="text1"/>
          <w:szCs w:val="21"/>
        </w:rPr>
        <w:t>保证所提供的所有产品均符合国家相关标准规范或强制性规定，所供产品均为原厂生产的合格产品、符合招标文件各项技术参数要求的规定，绝不提供假冒伪劣产品，如需要我方可以提供相关出厂合格证明或测试报告</w:t>
      </w:r>
      <w:r>
        <w:rPr>
          <w:rFonts w:hint="eastAsia" w:ascii="宋体" w:hAnsi="宋体" w:cs="宋体"/>
          <w:bCs/>
          <w:color w:val="000000" w:themeColor="text1"/>
          <w:szCs w:val="21"/>
        </w:rPr>
        <w:t>；</w:t>
      </w:r>
    </w:p>
    <w:p>
      <w:pPr>
        <w:spacing w:line="312" w:lineRule="auto"/>
        <w:ind w:left="1" w:firstLine="420" w:firstLineChars="200"/>
        <w:rPr>
          <w:rFonts w:ascii="宋体" w:cs="宋体"/>
          <w:bCs/>
          <w:color w:val="000000" w:themeColor="text1"/>
          <w:szCs w:val="21"/>
        </w:rPr>
      </w:pPr>
      <w:r>
        <w:rPr>
          <w:rFonts w:ascii="宋体" w:hAnsi="宋体" w:cs="宋体"/>
          <w:bCs/>
          <w:color w:val="000000" w:themeColor="text1"/>
          <w:szCs w:val="21"/>
        </w:rPr>
        <w:t>3</w:t>
      </w:r>
      <w:r>
        <w:rPr>
          <w:rFonts w:hint="eastAsia" w:ascii="宋体" w:hAnsi="宋体" w:cs="宋体"/>
          <w:bCs/>
          <w:color w:val="000000" w:themeColor="text1"/>
          <w:szCs w:val="21"/>
        </w:rPr>
        <w:t>、如无法按我方承诺期限如期交货，我方愿按合同条款承担相应违约责任，对采购人造成损失的，我方愿承担相应赔偿责任；</w:t>
      </w:r>
    </w:p>
    <w:p>
      <w:pPr>
        <w:spacing w:line="312" w:lineRule="auto"/>
        <w:ind w:left="1" w:firstLine="420" w:firstLineChars="200"/>
        <w:rPr>
          <w:rFonts w:ascii="宋体" w:cs="宋体"/>
          <w:bCs/>
          <w:color w:val="000000" w:themeColor="text1"/>
          <w:szCs w:val="21"/>
        </w:rPr>
      </w:pPr>
      <w:r>
        <w:rPr>
          <w:rFonts w:ascii="宋体" w:hAnsi="宋体" w:cs="宋体"/>
          <w:bCs/>
          <w:color w:val="000000" w:themeColor="text1"/>
          <w:szCs w:val="21"/>
        </w:rPr>
        <w:t>4</w:t>
      </w:r>
      <w:r>
        <w:rPr>
          <w:rFonts w:hint="eastAsia" w:ascii="宋体" w:hAnsi="宋体" w:cs="宋体"/>
          <w:bCs/>
          <w:color w:val="000000" w:themeColor="text1"/>
          <w:szCs w:val="21"/>
        </w:rPr>
        <w:t>、采购人验收时如发现我方所供产品与投标文件中所承诺的产品型号、规格、技术参数要求不符的，我方将立即无条件更换。如因此造成交货及安装周期超出我方承诺期限的，我方愿承担合同约定的违约责任；</w:t>
      </w:r>
    </w:p>
    <w:p>
      <w:pPr>
        <w:spacing w:line="312" w:lineRule="auto"/>
        <w:ind w:left="1" w:firstLine="420" w:firstLineChars="200"/>
        <w:rPr>
          <w:rFonts w:ascii="宋体" w:cs="宋体"/>
          <w:color w:val="000000" w:themeColor="text1"/>
          <w:szCs w:val="21"/>
        </w:rPr>
      </w:pPr>
      <w:r>
        <w:rPr>
          <w:rFonts w:ascii="宋体" w:hAnsi="宋体" w:cs="宋体"/>
          <w:bCs/>
          <w:color w:val="000000" w:themeColor="text1"/>
          <w:szCs w:val="21"/>
        </w:rPr>
        <w:t>5</w:t>
      </w:r>
      <w:r>
        <w:rPr>
          <w:rFonts w:hint="eastAsia" w:ascii="宋体" w:hAnsi="宋体" w:cs="宋体"/>
          <w:bCs/>
          <w:color w:val="000000" w:themeColor="text1"/>
          <w:szCs w:val="21"/>
        </w:rPr>
        <w:t>、</w:t>
      </w:r>
      <w:r>
        <w:rPr>
          <w:rFonts w:hint="eastAsia" w:ascii="宋体" w:hAnsi="宋体" w:cs="宋体"/>
          <w:color w:val="000000" w:themeColor="text1"/>
          <w:szCs w:val="21"/>
        </w:rPr>
        <w:t>我方提供的产品如不能满足招标文件要求的，采购人有权拒绝接收；</w:t>
      </w:r>
    </w:p>
    <w:p>
      <w:pPr>
        <w:spacing w:line="312" w:lineRule="auto"/>
        <w:ind w:left="1" w:firstLine="420" w:firstLineChars="200"/>
        <w:rPr>
          <w:rFonts w:ascii="宋体" w:cs="宋体"/>
          <w:bCs/>
          <w:color w:val="000000" w:themeColor="text1"/>
          <w:szCs w:val="21"/>
        </w:rPr>
      </w:pPr>
      <w:r>
        <w:rPr>
          <w:rFonts w:ascii="宋体" w:hAnsi="宋体" w:cs="宋体"/>
          <w:bCs/>
          <w:color w:val="000000" w:themeColor="text1"/>
          <w:szCs w:val="21"/>
        </w:rPr>
        <w:t>6</w:t>
      </w:r>
      <w:r>
        <w:rPr>
          <w:rFonts w:hint="eastAsia" w:ascii="宋体" w:hAnsi="宋体" w:cs="宋体"/>
          <w:bCs/>
          <w:color w:val="000000" w:themeColor="text1"/>
          <w:szCs w:val="21"/>
        </w:rPr>
        <w:t>、如我方中标，在公示期内或领取中标（成交）通知书后，我方无正当理由（如自身报价失误、无法组织及时交货、资金不到位、帐户无法正常使用等）放弃中标资格，我方愿接受财政部门做出的记入不良诚信记录、网上曝光、禁止参加政府采购活动等的处理；</w:t>
      </w:r>
    </w:p>
    <w:p>
      <w:pPr>
        <w:spacing w:line="312" w:lineRule="auto"/>
        <w:ind w:left="1" w:firstLine="420" w:firstLineChars="200"/>
        <w:rPr>
          <w:rFonts w:ascii="宋体" w:cs="宋体"/>
          <w:bCs/>
          <w:color w:val="000000" w:themeColor="text1"/>
          <w:szCs w:val="21"/>
        </w:rPr>
      </w:pPr>
      <w:r>
        <w:rPr>
          <w:rFonts w:ascii="宋体" w:hAnsi="宋体" w:cs="宋体"/>
          <w:bCs/>
          <w:color w:val="000000" w:themeColor="text1"/>
          <w:szCs w:val="21"/>
        </w:rPr>
        <w:t>7</w:t>
      </w:r>
      <w:r>
        <w:rPr>
          <w:rFonts w:hint="eastAsia" w:ascii="宋体" w:hAnsi="宋体" w:cs="宋体"/>
          <w:bCs/>
          <w:color w:val="000000" w:themeColor="text1"/>
          <w:szCs w:val="21"/>
        </w:rPr>
        <w:t>、我方已详细阅读了本招标文件，保证可以完全响应招标文件所有要求，并理解你方或评标委员会对我方进行资格审查的权利，如在资格审查中发现我方存在有违规行为愿承担相应法律责任；</w:t>
      </w:r>
    </w:p>
    <w:p>
      <w:pPr>
        <w:spacing w:line="312" w:lineRule="auto"/>
        <w:ind w:left="1" w:firstLine="420" w:firstLineChars="200"/>
        <w:rPr>
          <w:rFonts w:ascii="宋体" w:cs="宋体"/>
          <w:bCs/>
          <w:color w:val="000000" w:themeColor="text1"/>
          <w:szCs w:val="21"/>
        </w:rPr>
      </w:pPr>
      <w:r>
        <w:rPr>
          <w:rFonts w:ascii="宋体" w:hAnsi="宋体" w:cs="宋体"/>
          <w:bCs/>
          <w:color w:val="000000" w:themeColor="text1"/>
          <w:szCs w:val="21"/>
        </w:rPr>
        <w:t>8</w:t>
      </w:r>
      <w:r>
        <w:rPr>
          <w:rFonts w:hint="eastAsia" w:ascii="宋体" w:hAnsi="宋体" w:cs="宋体"/>
          <w:bCs/>
          <w:color w:val="000000" w:themeColor="text1"/>
          <w:szCs w:val="21"/>
        </w:rPr>
        <w:t>、保证不将我方的有关资格、资质证书转借他人投标，不与他人进行串标、围标，不将本项目进行转包或分包。</w:t>
      </w:r>
    </w:p>
    <w:p>
      <w:pPr>
        <w:spacing w:line="360" w:lineRule="auto"/>
        <w:jc w:val="right"/>
        <w:rPr>
          <w:rFonts w:ascii="宋体"/>
          <w:color w:val="000000" w:themeColor="text1"/>
          <w:szCs w:val="21"/>
        </w:rPr>
      </w:pPr>
      <w:r>
        <w:rPr>
          <w:rFonts w:hint="eastAsia" w:ascii="宋体" w:hAnsi="宋体"/>
          <w:color w:val="000000" w:themeColor="text1"/>
          <w:szCs w:val="21"/>
        </w:rPr>
        <w:t>投标人：</w:t>
      </w:r>
      <w:r>
        <w:rPr>
          <w:rFonts w:ascii="宋体" w:hAnsi="宋体" w:cs="宋体"/>
          <w:color w:val="000000" w:themeColor="text1"/>
          <w:szCs w:val="21"/>
          <w:u w:val="single"/>
        </w:rPr>
        <w:t xml:space="preserve">                                        </w:t>
      </w:r>
      <w:r>
        <w:rPr>
          <w:rFonts w:hint="eastAsia" w:ascii="宋体" w:hAnsi="宋体"/>
          <w:color w:val="000000" w:themeColor="text1"/>
          <w:szCs w:val="21"/>
        </w:rPr>
        <w:t>（盖单位章）</w:t>
      </w:r>
    </w:p>
    <w:p>
      <w:pPr>
        <w:spacing w:line="360" w:lineRule="auto"/>
        <w:jc w:val="right"/>
        <w:rPr>
          <w:rFonts w:ascii="宋体"/>
          <w:color w:val="000000" w:themeColor="text1"/>
          <w:szCs w:val="21"/>
        </w:rPr>
      </w:pPr>
      <w:r>
        <w:rPr>
          <w:rFonts w:hint="eastAsia" w:ascii="宋体" w:hAnsi="宋体"/>
          <w:color w:val="000000" w:themeColor="text1"/>
          <w:szCs w:val="21"/>
        </w:rPr>
        <w:t>法定代表人或其委托代理人：</w:t>
      </w:r>
      <w:r>
        <w:rPr>
          <w:rFonts w:ascii="宋体" w:hAnsi="宋体" w:cs="宋体"/>
          <w:color w:val="000000" w:themeColor="text1"/>
          <w:szCs w:val="21"/>
          <w:u w:val="single"/>
        </w:rPr>
        <w:t xml:space="preserve">                     </w:t>
      </w:r>
      <w:r>
        <w:rPr>
          <w:rFonts w:hint="eastAsia" w:ascii="宋体" w:hAnsi="宋体"/>
          <w:color w:val="000000" w:themeColor="text1"/>
          <w:szCs w:val="21"/>
        </w:rPr>
        <w:t>（签字）</w:t>
      </w:r>
    </w:p>
    <w:p>
      <w:pPr>
        <w:spacing w:line="360" w:lineRule="auto"/>
        <w:jc w:val="right"/>
        <w:rPr>
          <w:rFonts w:ascii="宋体"/>
          <w:color w:val="000000" w:themeColor="text1"/>
          <w:szCs w:val="21"/>
        </w:rPr>
      </w:pPr>
    </w:p>
    <w:p>
      <w:pPr>
        <w:spacing w:line="360" w:lineRule="auto"/>
        <w:jc w:val="right"/>
        <w:rPr>
          <w:rFonts w:ascii="宋体"/>
          <w:color w:val="000000" w:themeColor="text1"/>
          <w:szCs w:val="21"/>
        </w:rPr>
      </w:pPr>
      <w:r>
        <w:rPr>
          <w:rFonts w:ascii="宋体" w:hAnsi="宋体" w:cs="宋体"/>
          <w:color w:val="000000" w:themeColor="text1"/>
          <w:szCs w:val="21"/>
          <w:u w:val="single"/>
        </w:rPr>
        <w:t xml:space="preserve">    </w:t>
      </w:r>
      <w:r>
        <w:rPr>
          <w:rFonts w:hint="eastAsia" w:ascii="宋体" w:hAnsi="宋体"/>
          <w:color w:val="000000" w:themeColor="text1"/>
          <w:szCs w:val="21"/>
        </w:rPr>
        <w:t>年</w:t>
      </w:r>
      <w:r>
        <w:rPr>
          <w:rFonts w:ascii="宋体" w:hAnsi="宋体" w:cs="宋体"/>
          <w:color w:val="000000" w:themeColor="text1"/>
          <w:szCs w:val="21"/>
          <w:u w:val="single"/>
        </w:rPr>
        <w:t xml:space="preserve">    </w:t>
      </w:r>
      <w:r>
        <w:rPr>
          <w:rFonts w:hint="eastAsia" w:ascii="宋体" w:hAnsi="宋体"/>
          <w:color w:val="000000" w:themeColor="text1"/>
          <w:szCs w:val="21"/>
        </w:rPr>
        <w:t>月</w:t>
      </w:r>
      <w:r>
        <w:rPr>
          <w:rFonts w:ascii="宋体" w:hAnsi="宋体" w:cs="宋体"/>
          <w:color w:val="000000" w:themeColor="text1"/>
          <w:szCs w:val="21"/>
          <w:u w:val="single"/>
        </w:rPr>
        <w:t xml:space="preserve">    </w:t>
      </w:r>
      <w:r>
        <w:rPr>
          <w:rFonts w:hint="eastAsia" w:ascii="宋体" w:hAnsi="宋体"/>
          <w:color w:val="000000" w:themeColor="text1"/>
          <w:szCs w:val="21"/>
        </w:rPr>
        <w:t>日</w:t>
      </w:r>
    </w:p>
    <w:p>
      <w:pPr>
        <w:spacing w:line="312" w:lineRule="auto"/>
        <w:ind w:firstLine="411" w:firstLineChars="196"/>
        <w:rPr>
          <w:rFonts w:ascii="宋体" w:cs="宋体"/>
          <w:color w:val="000000" w:themeColor="text1"/>
          <w:szCs w:val="21"/>
        </w:rPr>
      </w:pPr>
      <w:r>
        <w:rPr>
          <w:rFonts w:hint="eastAsia" w:ascii="宋体" w:hAnsi="宋体" w:cs="宋体"/>
          <w:color w:val="000000" w:themeColor="text1"/>
          <w:szCs w:val="21"/>
        </w:rPr>
        <w:t>特别提示：</w:t>
      </w:r>
      <w:r>
        <w:rPr>
          <w:rFonts w:hint="eastAsia" w:ascii="宋体" w:hAnsi="宋体" w:cs="宋体"/>
          <w:color w:val="000000" w:themeColor="text1"/>
          <w:spacing w:val="20"/>
          <w:szCs w:val="21"/>
        </w:rPr>
        <w:t>以上</w:t>
      </w:r>
      <w:r>
        <w:rPr>
          <w:rFonts w:hint="eastAsia" w:ascii="宋体" w:hAnsi="宋体" w:cs="宋体"/>
          <w:color w:val="000000" w:themeColor="text1"/>
          <w:szCs w:val="21"/>
        </w:rPr>
        <w:t>承诺书内容不得随意改动，本承诺书应由法定代表人或授权代理人签字并加盖公章，</w:t>
      </w:r>
      <w:r>
        <w:rPr>
          <w:rFonts w:hint="eastAsia" w:ascii="宋体" w:hAnsi="宋体" w:cs="宋体"/>
          <w:bCs/>
          <w:color w:val="000000" w:themeColor="text1"/>
          <w:szCs w:val="21"/>
        </w:rPr>
        <w:t>否则视为无效投标文件</w:t>
      </w:r>
      <w:r>
        <w:rPr>
          <w:rFonts w:hint="eastAsia" w:ascii="宋体" w:hAnsi="宋体" w:cs="宋体"/>
          <w:color w:val="000000" w:themeColor="text1"/>
          <w:szCs w:val="21"/>
        </w:rPr>
        <w:t>。</w:t>
      </w:r>
    </w:p>
    <w:p>
      <w:pPr>
        <w:spacing w:line="400" w:lineRule="exact"/>
        <w:rPr>
          <w:rFonts w:ascii="宋体" w:cs="宋体"/>
          <w:color w:val="000000" w:themeColor="text1"/>
          <w:szCs w:val="21"/>
        </w:rPr>
      </w:pPr>
    </w:p>
    <w:p>
      <w:pPr>
        <w:rPr>
          <w:rFonts w:ascii="宋体" w:cs="宋体"/>
          <w:color w:val="000000" w:themeColor="text1"/>
          <w:szCs w:val="21"/>
        </w:rPr>
      </w:pPr>
    </w:p>
    <w:p>
      <w:pPr>
        <w:rPr>
          <w:rFonts w:ascii="宋体"/>
          <w:color w:val="000000" w:themeColor="text1"/>
          <w:szCs w:val="21"/>
        </w:rPr>
      </w:pPr>
    </w:p>
    <w:p>
      <w:pPr>
        <w:rPr>
          <w:rFonts w:ascii="宋体" w:hAnsi="宋体" w:cs="宋体"/>
          <w:b/>
          <w:color w:val="000000" w:themeColor="text1"/>
          <w:szCs w:val="21"/>
        </w:rPr>
      </w:pPr>
      <w:bookmarkStart w:id="369" w:name="_Toc476838487"/>
      <w:bookmarkStart w:id="370" w:name="_Toc447959628"/>
      <w:bookmarkStart w:id="371" w:name="_Toc486000041"/>
      <w:bookmarkStart w:id="372" w:name="_Toc509321742"/>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numPr>
          <w:ilvl w:val="0"/>
          <w:numId w:val="4"/>
        </w:numPr>
        <w:jc w:val="center"/>
        <w:rPr>
          <w:rFonts w:ascii="宋体" w:hAnsi="宋体" w:cs="宋体"/>
          <w:b/>
          <w:color w:val="000000" w:themeColor="text1"/>
          <w:szCs w:val="21"/>
        </w:rPr>
      </w:pPr>
      <w:r>
        <w:rPr>
          <w:rFonts w:hint="eastAsia" w:ascii="宋体" w:hAnsi="宋体" w:cs="宋体"/>
          <w:b/>
          <w:color w:val="000000" w:themeColor="text1"/>
          <w:szCs w:val="21"/>
        </w:rPr>
        <w:t>投标保证金</w:t>
      </w:r>
    </w:p>
    <w:p>
      <w:pPr>
        <w:pStyle w:val="15"/>
        <w:rPr>
          <w:color w:val="000000" w:themeColor="text1"/>
        </w:rPr>
      </w:pPr>
    </w:p>
    <w:p>
      <w:pPr>
        <w:pStyle w:val="15"/>
        <w:jc w:val="center"/>
        <w:rPr>
          <w:color w:val="000000" w:themeColor="text1"/>
          <w:sz w:val="21"/>
          <w:szCs w:val="21"/>
        </w:rPr>
      </w:pPr>
      <w:r>
        <w:rPr>
          <w:rFonts w:hint="eastAsia"/>
          <w:color w:val="000000" w:themeColor="text1"/>
          <w:sz w:val="21"/>
          <w:szCs w:val="21"/>
        </w:rPr>
        <w:t>（</w:t>
      </w:r>
      <w:r>
        <w:rPr>
          <w:rFonts w:hint="eastAsia"/>
          <w:bCs/>
          <w:color w:val="000000" w:themeColor="text1"/>
          <w:sz w:val="21"/>
          <w:szCs w:val="21"/>
        </w:rPr>
        <w:t>请附投标保证金收据、转账凭证复印件或扫描件及开户行许可证复印件扫描件并加盖公章</w:t>
      </w:r>
      <w:r>
        <w:rPr>
          <w:rFonts w:hint="eastAsia"/>
          <w:color w:val="000000" w:themeColor="text1"/>
          <w:sz w:val="21"/>
          <w:szCs w:val="21"/>
        </w:rPr>
        <w:t>）</w:t>
      </w: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rPr>
          <w:rFonts w:ascii="宋体" w:hAnsi="宋体" w:cs="宋体"/>
          <w:b/>
          <w:color w:val="000000" w:themeColor="text1"/>
          <w:szCs w:val="21"/>
        </w:rPr>
      </w:pPr>
    </w:p>
    <w:p>
      <w:pPr>
        <w:jc w:val="center"/>
        <w:rPr>
          <w:rFonts w:ascii="宋体" w:cs="宋体"/>
          <w:b/>
          <w:color w:val="000000" w:themeColor="text1"/>
          <w:szCs w:val="21"/>
        </w:rPr>
      </w:pPr>
      <w:r>
        <w:rPr>
          <w:rFonts w:hint="eastAsia" w:ascii="宋体" w:hAnsi="宋体" w:cs="宋体"/>
          <w:b/>
          <w:color w:val="000000" w:themeColor="text1"/>
          <w:szCs w:val="21"/>
        </w:rPr>
        <w:t>十、其他材料</w:t>
      </w:r>
      <w:bookmarkEnd w:id="369"/>
      <w:bookmarkEnd w:id="370"/>
      <w:bookmarkEnd w:id="371"/>
      <w:r>
        <w:rPr>
          <w:rFonts w:hint="eastAsia" w:ascii="宋体" w:hAnsi="宋体" w:cs="宋体"/>
          <w:b/>
          <w:color w:val="000000" w:themeColor="text1"/>
          <w:szCs w:val="21"/>
        </w:rPr>
        <w:t>（其他投标人认为有必要提交的其它材料）</w:t>
      </w:r>
      <w:bookmarkEnd w:id="372"/>
    </w:p>
    <w:p>
      <w:pPr>
        <w:spacing w:line="360" w:lineRule="auto"/>
        <w:jc w:val="center"/>
        <w:rPr>
          <w:rFonts w:ascii="宋体" w:cs="宋体"/>
          <w:color w:val="000000" w:themeColor="text1"/>
          <w:sz w:val="24"/>
        </w:rPr>
      </w:pPr>
    </w:p>
    <w:bookmarkEnd w:id="346"/>
    <w:bookmarkEnd w:id="347"/>
    <w:bookmarkEnd w:id="348"/>
    <w:bookmarkEnd w:id="349"/>
    <w:bookmarkEnd w:id="350"/>
    <w:bookmarkEnd w:id="351"/>
    <w:bookmarkEnd w:id="352"/>
    <w:bookmarkEnd w:id="353"/>
    <w:p>
      <w:pPr>
        <w:rPr>
          <w:rFonts w:ascii="宋体"/>
          <w:color w:val="000000" w:themeColor="text1"/>
        </w:rPr>
      </w:pPr>
    </w:p>
    <w:p>
      <w:pPr>
        <w:rPr>
          <w:color w:val="000000" w:themeColor="text1"/>
        </w:rPr>
      </w:pPr>
    </w:p>
    <w:p>
      <w:pPr>
        <w:rPr>
          <w:color w:val="000000" w:themeColor="text1"/>
        </w:rPr>
      </w:pPr>
    </w:p>
    <w:p/>
    <w:p/>
    <w:sectPr>
      <w:headerReference r:id="rId8" w:type="first"/>
      <w:footerReference r:id="rId11" w:type="first"/>
      <w:headerReference r:id="rId7" w:type="default"/>
      <w:footerReference r:id="rId9" w:type="default"/>
      <w:footerReference r:id="rId10" w:type="even"/>
      <w:pgSz w:w="11906" w:h="16838"/>
      <w:pgMar w:top="1418" w:right="898" w:bottom="1418" w:left="998" w:header="851" w:footer="850"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14080"/>
        <w:tab w:val="clear" w:pos="8306"/>
      </w:tabs>
    </w:pPr>
    <w:r>
      <w:rPr>
        <w:sz w:val="18"/>
      </w:rPr>
      <w:pict>
        <v:shape id="_x0000_s1029" o:spid="_x0000_s102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楷体_GB2312" w:hAnsi="楷体_GB2312" w:eastAsia="楷体_GB2312" w:cs="楷体_GB2312"/>
        <w:b/>
        <w:bCs/>
        <w:sz w:val="20"/>
        <w:szCs w:val="20"/>
        <w:u w:val="thick"/>
      </w:rPr>
    </w:pPr>
    <w:r>
      <w:rPr>
        <w:sz w:val="20"/>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r>
      <w:rPr>
        <w:sz w:val="18"/>
      </w:rPr>
      <w:pict>
        <v:shape id="_x0000_s1030" o:spid="_x0000_s1030"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6"/>
      <w:jc w:val="both"/>
      <w:rPr>
        <w:rFonts w:ascii="仿宋" w:hAnsi="仿宋" w:eastAsia="仿宋" w:cs="仿宋"/>
        <w:b/>
        <w:b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53</w:t>
    </w:r>
    <w:r>
      <w:rPr>
        <w:rStyle w:val="12"/>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r>
      <w:rPr>
        <w:sz w:val="20"/>
      </w:rPr>
      <w:pict>
        <v:shape id="_x0000_s1028" o:spid="_x0000_s1028"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- 50 -</w:t>
                </w:r>
                <w:r>
                  <w:fldChar w:fldCharType="end"/>
                </w:r>
              </w:p>
            </w:txbxContent>
          </v:textbox>
        </v:shape>
      </w:pict>
    </w:r>
    <w:r>
      <w:rPr>
        <w:sz w:val="20"/>
      </w:rPr>
      <w:pict>
        <v:shape id="_x0000_s1027" o:spid="_x0000_s102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path/>
          <v:fill on="f" focussize="0,0"/>
          <v:stroke on="f" weight="0.5pt" joinstyle="miter"/>
          <v:imagedata o:title=""/>
          <o:lock v:ext="edit"/>
          <v:textbox inset="0mm,0mm,0mm,0mm" style="mso-fit-shape-to-text:t;">
            <w:txbxContent>
              <w:p>
                <w:pPr>
                  <w:pStyle w:val="6"/>
                </w:pPr>
              </w:p>
            </w:txbxContent>
          </v:textbox>
        </v:shape>
      </w:pic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rPr>
        <w:rFonts w:ascii="楷体_GB2312" w:hAnsi="楷体_GB2312" w:eastAsia="楷体_GB2312" w:cs="楷体_GB2312"/>
        <w:b/>
        <w:bCs/>
        <w:szCs w:val="21"/>
      </w:rPr>
    </w:pPr>
    <w:r>
      <w:rPr>
        <w:rFonts w:hint="eastAsia" w:ascii="楷体_GB2312" w:hAnsi="楷体_GB2312" w:eastAsia="楷体_GB2312" w:cs="楷体_GB2312"/>
        <w:b/>
        <w:bCs/>
        <w:sz w:val="20"/>
        <w:szCs w:val="20"/>
      </w:rPr>
      <w:t>通许县交通运输局执法所非现场执法系统项目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0"/>
      </w:pBdr>
      <w:rPr>
        <w:rFonts w:ascii="楷体_GB2312" w:hAnsi="楷体_GB2312" w:eastAsia="楷体_GB2312" w:cs="楷体_GB2312"/>
        <w:b/>
        <w:bCs/>
        <w:szCs w:val="21"/>
      </w:rPr>
    </w:pPr>
    <w:r>
      <w:rPr>
        <w:rFonts w:hint="eastAsia" w:ascii="楷体_GB2312" w:hAnsi="楷体_GB2312" w:eastAsia="楷体_GB2312" w:cs="楷体_GB2312"/>
        <w:b/>
        <w:bCs/>
        <w:sz w:val="20"/>
        <w:szCs w:val="20"/>
      </w:rPr>
      <w:t>通许县交通运输局执法所非现场执法系统项目招标文件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double" w:color="auto" w:sz="8" w:space="0"/>
      </w:pBdr>
      <w:rPr>
        <w:rFonts w:ascii="宋体"/>
        <w:sz w:val="20"/>
        <w:szCs w:val="20"/>
      </w:rPr>
    </w:pPr>
    <w:r>
      <w:rPr>
        <w:rFonts w:hint="eastAsia" w:ascii="楷体_GB2312" w:hAnsi="楷体_GB2312" w:eastAsia="楷体_GB2312" w:cs="楷体_GB2312"/>
        <w:b/>
        <w:bCs/>
        <w:sz w:val="20"/>
        <w:szCs w:val="20"/>
      </w:rPr>
      <w:t>通许县交通运输局执法所非现场执法系统项目招标文件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楷体_GB2312" w:hAnsi="楷体_GB2312" w:eastAsia="楷体_GB2312" w:cs="楷体_GB2312"/>
        <w:b/>
        <w:bCs/>
        <w:sz w:val="20"/>
        <w:szCs w:val="20"/>
      </w:rPr>
      <w:t>通许县交通运输局执法所非现场执法系统项目招标文件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799F5"/>
    <w:multiLevelType w:val="singleLevel"/>
    <w:tmpl w:val="E8A799F5"/>
    <w:lvl w:ilvl="0" w:tentative="0">
      <w:start w:val="1"/>
      <w:numFmt w:val="decimal"/>
      <w:suff w:val="nothing"/>
      <w:lvlText w:val="（%1）"/>
      <w:lvlJc w:val="left"/>
    </w:lvl>
  </w:abstractNum>
  <w:abstractNum w:abstractNumId="1">
    <w:nsid w:val="00000016"/>
    <w:multiLevelType w:val="multilevel"/>
    <w:tmpl w:val="00000016"/>
    <w:lvl w:ilvl="0" w:tentative="0">
      <w:start w:val="1"/>
      <w:numFmt w:val="japaneseCounting"/>
      <w:lvlText w:val="第%1章"/>
      <w:lvlJc w:val="left"/>
      <w:pPr>
        <w:ind w:left="300" w:hanging="420"/>
      </w:pPr>
      <w:rPr>
        <w:rFonts w:hint="eastAsia" w:ascii="黑体" w:eastAsia="黑体" w:cs="Times New Roman"/>
        <w:b w:val="0"/>
        <w:sz w:val="36"/>
        <w:szCs w:val="36"/>
      </w:rPr>
    </w:lvl>
    <w:lvl w:ilvl="1" w:tentative="0">
      <w:start w:val="1"/>
      <w:numFmt w:val="decimal"/>
      <w:lvlText w:val="%2."/>
      <w:lvlJc w:val="left"/>
      <w:pPr>
        <w:tabs>
          <w:tab w:val="left" w:pos="851"/>
        </w:tabs>
      </w:pPr>
      <w:rPr>
        <w:rFonts w:hint="eastAsia" w:eastAsia="仿宋" w:cs="Times New Roman"/>
      </w:rPr>
    </w:lvl>
    <w:lvl w:ilvl="2" w:tentative="0">
      <w:start w:val="1"/>
      <w:numFmt w:val="decimal"/>
      <w:pStyle w:val="17"/>
      <w:isLgl/>
      <w:lvlText w:val="%1.%2.%3"/>
      <w:lvlJc w:val="left"/>
      <w:pPr>
        <w:tabs>
          <w:tab w:val="left" w:pos="6096"/>
        </w:tabs>
        <w:ind w:left="5245"/>
      </w:pPr>
      <w:rPr>
        <w:rFonts w:ascii="仿宋" w:hAnsi="仿宋" w:eastAsia="仿宋" w:cs="Times New Roman"/>
        <w:color w:val="000000"/>
      </w:rPr>
    </w:lvl>
    <w:lvl w:ilvl="3" w:tentative="0">
      <w:start w:val="1"/>
      <w:numFmt w:val="decimal"/>
      <w:isLgl/>
      <w:lvlText w:val="%1.%2.%3.%4"/>
      <w:lvlJc w:val="left"/>
      <w:pPr>
        <w:tabs>
          <w:tab w:val="left" w:pos="1134"/>
        </w:tabs>
      </w:pPr>
      <w:rPr>
        <w:rFonts w:hint="eastAsia" w:cs="Times New Roman"/>
      </w:rPr>
    </w:lvl>
    <w:lvl w:ilvl="4" w:tentative="0">
      <w:start w:val="1"/>
      <w:numFmt w:val="decimal"/>
      <w:lvlText w:val="%1.%2.%3.%4.%5"/>
      <w:lvlJc w:val="left"/>
      <w:pPr>
        <w:tabs>
          <w:tab w:val="left" w:pos="4850"/>
        </w:tabs>
        <w:ind w:left="4620" w:hanging="850"/>
      </w:pPr>
      <w:rPr>
        <w:rFonts w:hint="eastAsia" w:cs="Times New Roman"/>
      </w:rPr>
    </w:lvl>
    <w:lvl w:ilvl="5" w:tentative="0">
      <w:start w:val="1"/>
      <w:numFmt w:val="decimal"/>
      <w:lvlText w:val="%1.%2.%3.%4.%5.%6"/>
      <w:lvlJc w:val="left"/>
      <w:pPr>
        <w:tabs>
          <w:tab w:val="left" w:pos="5635"/>
        </w:tabs>
        <w:ind w:left="5329" w:hanging="1134"/>
      </w:pPr>
      <w:rPr>
        <w:rFonts w:hint="eastAsia" w:cs="Times New Roman"/>
      </w:rPr>
    </w:lvl>
    <w:lvl w:ilvl="6" w:tentative="0">
      <w:start w:val="1"/>
      <w:numFmt w:val="decimal"/>
      <w:lvlText w:val="%1.%2.%3.%4.%5.%6.%7"/>
      <w:lvlJc w:val="left"/>
      <w:pPr>
        <w:tabs>
          <w:tab w:val="left" w:pos="6420"/>
        </w:tabs>
        <w:ind w:left="5896" w:hanging="1276"/>
      </w:pPr>
      <w:rPr>
        <w:rFonts w:hint="eastAsia" w:cs="Times New Roman"/>
      </w:rPr>
    </w:lvl>
    <w:lvl w:ilvl="7" w:tentative="0">
      <w:start w:val="1"/>
      <w:numFmt w:val="decimal"/>
      <w:lvlText w:val="%1.%2.%3.%4.%5.%6.%7.%8"/>
      <w:lvlJc w:val="left"/>
      <w:pPr>
        <w:tabs>
          <w:tab w:val="left" w:pos="6845"/>
        </w:tabs>
        <w:ind w:left="6463" w:hanging="1418"/>
      </w:pPr>
      <w:rPr>
        <w:rFonts w:hint="eastAsia" w:cs="Times New Roman"/>
      </w:rPr>
    </w:lvl>
    <w:lvl w:ilvl="8" w:tentative="0">
      <w:start w:val="1"/>
      <w:numFmt w:val="decimal"/>
      <w:lvlText w:val="%1.%2.%3.%4.%5.%6.%7.%8.%9"/>
      <w:lvlJc w:val="left"/>
      <w:pPr>
        <w:tabs>
          <w:tab w:val="left" w:pos="7631"/>
        </w:tabs>
        <w:ind w:left="7171" w:hanging="1700"/>
      </w:pPr>
      <w:rPr>
        <w:rFonts w:hint="eastAsia" w:cs="Times New Roman"/>
      </w:rPr>
    </w:lvl>
  </w:abstractNum>
  <w:abstractNum w:abstractNumId="2">
    <w:nsid w:val="6BBA85E2"/>
    <w:multiLevelType w:val="singleLevel"/>
    <w:tmpl w:val="6BBA85E2"/>
    <w:lvl w:ilvl="0" w:tentative="0">
      <w:start w:val="9"/>
      <w:numFmt w:val="chineseCounting"/>
      <w:suff w:val="nothing"/>
      <w:lvlText w:val="%1、"/>
      <w:lvlJc w:val="left"/>
      <w:rPr>
        <w:rFonts w:hint="eastAsia"/>
      </w:rPr>
    </w:lvl>
  </w:abstractNum>
  <w:abstractNum w:abstractNumId="3">
    <w:nsid w:val="70EBD5C5"/>
    <w:multiLevelType w:val="singleLevel"/>
    <w:tmpl w:val="70EBD5C5"/>
    <w:lvl w:ilvl="0" w:tentative="0">
      <w:start w:val="1"/>
      <w:numFmt w:val="decimal"/>
      <w:lvlText w:val="(%1)"/>
      <w:lvlJc w:val="left"/>
      <w:pPr>
        <w:tabs>
          <w:tab w:val="left" w:pos="312"/>
        </w:tabs>
        <w:ind w:left="60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48115F8"/>
    <w:rsid w:val="00150491"/>
    <w:rsid w:val="0016748F"/>
    <w:rsid w:val="002F7819"/>
    <w:rsid w:val="00331C97"/>
    <w:rsid w:val="00377D73"/>
    <w:rsid w:val="0047161B"/>
    <w:rsid w:val="004D3FC5"/>
    <w:rsid w:val="00580293"/>
    <w:rsid w:val="00602DC9"/>
    <w:rsid w:val="00623ADF"/>
    <w:rsid w:val="006D63BC"/>
    <w:rsid w:val="006F17D6"/>
    <w:rsid w:val="007178A2"/>
    <w:rsid w:val="00991389"/>
    <w:rsid w:val="00B26D93"/>
    <w:rsid w:val="00B873BC"/>
    <w:rsid w:val="00BC21C4"/>
    <w:rsid w:val="00C926E0"/>
    <w:rsid w:val="00CF3813"/>
    <w:rsid w:val="00DA0C5D"/>
    <w:rsid w:val="00DB760B"/>
    <w:rsid w:val="00E07BDD"/>
    <w:rsid w:val="00EA3072"/>
    <w:rsid w:val="00F802A5"/>
    <w:rsid w:val="00FA739A"/>
    <w:rsid w:val="0237117C"/>
    <w:rsid w:val="034706D9"/>
    <w:rsid w:val="05E645BA"/>
    <w:rsid w:val="08FB7727"/>
    <w:rsid w:val="130E4EC5"/>
    <w:rsid w:val="175C5CC3"/>
    <w:rsid w:val="1C413497"/>
    <w:rsid w:val="22FB6B96"/>
    <w:rsid w:val="26C95491"/>
    <w:rsid w:val="27280630"/>
    <w:rsid w:val="2992788A"/>
    <w:rsid w:val="2AAF3631"/>
    <w:rsid w:val="2C1F10CD"/>
    <w:rsid w:val="2C966495"/>
    <w:rsid w:val="2E78776B"/>
    <w:rsid w:val="2EED475F"/>
    <w:rsid w:val="2F975260"/>
    <w:rsid w:val="33900266"/>
    <w:rsid w:val="34023ABE"/>
    <w:rsid w:val="353D4B32"/>
    <w:rsid w:val="384F0714"/>
    <w:rsid w:val="3D260B02"/>
    <w:rsid w:val="3E580B8F"/>
    <w:rsid w:val="3F145F5D"/>
    <w:rsid w:val="3FAC22B9"/>
    <w:rsid w:val="48943677"/>
    <w:rsid w:val="4F2A1FF1"/>
    <w:rsid w:val="52786C7A"/>
    <w:rsid w:val="5285208D"/>
    <w:rsid w:val="572675CF"/>
    <w:rsid w:val="584F73FD"/>
    <w:rsid w:val="62747322"/>
    <w:rsid w:val="637D4B2D"/>
    <w:rsid w:val="648115F8"/>
    <w:rsid w:val="667A5567"/>
    <w:rsid w:val="66F76EDA"/>
    <w:rsid w:val="68CA7AFF"/>
    <w:rsid w:val="68CF0A43"/>
    <w:rsid w:val="6A084082"/>
    <w:rsid w:val="74E86B5A"/>
    <w:rsid w:val="79864555"/>
    <w:rsid w:val="7A28482D"/>
    <w:rsid w:val="7D634385"/>
    <w:rsid w:val="7DC80BF3"/>
    <w:rsid w:val="7F687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32"/>
    </w:rPr>
  </w:style>
  <w:style w:type="paragraph" w:styleId="2">
    <w:name w:val="heading 2"/>
    <w:basedOn w:val="1"/>
    <w:next w:val="1"/>
    <w:semiHidden/>
    <w:unhideWhenUsed/>
    <w:qFormat/>
    <w:uiPriority w:val="0"/>
    <w:pPr>
      <w:keepNext/>
      <w:keepLines/>
      <w:spacing w:line="360" w:lineRule="auto"/>
      <w:outlineLvl w:val="1"/>
    </w:pPr>
    <w:rPr>
      <w:rFonts w:ascii="Arial" w:hAnsi="Arial"/>
      <w:b/>
      <w:sz w:val="30"/>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link w:val="18"/>
    <w:uiPriority w:val="0"/>
    <w:rPr>
      <w:rFonts w:ascii="宋体"/>
      <w:sz w:val="18"/>
      <w:szCs w:val="18"/>
    </w:rPr>
  </w:style>
  <w:style w:type="paragraph" w:styleId="5">
    <w:name w:val="Body Text"/>
    <w:basedOn w:val="1"/>
    <w:qFormat/>
    <w:uiPriority w:val="99"/>
    <w:rPr>
      <w:rFonts w:ascii="宋体"/>
      <w:kern w:val="0"/>
      <w:sz w:val="2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jc w:val="left"/>
    </w:pPr>
    <w:rPr>
      <w:b/>
      <w:bCs/>
      <w:caps/>
      <w:sz w:val="20"/>
      <w:szCs w:val="20"/>
    </w:rPr>
  </w:style>
  <w:style w:type="paragraph" w:styleId="9">
    <w:name w:val="toc 2"/>
    <w:basedOn w:val="1"/>
    <w:next w:val="1"/>
    <w:qFormat/>
    <w:uiPriority w:val="99"/>
    <w:pPr>
      <w:ind w:left="210"/>
      <w:jc w:val="left"/>
    </w:pPr>
    <w:rPr>
      <w:smallCaps/>
      <w:sz w:val="20"/>
      <w:szCs w:val="20"/>
    </w:rPr>
  </w:style>
  <w:style w:type="paragraph" w:styleId="10">
    <w:name w:val="Normal (Web)"/>
    <w:basedOn w:val="1"/>
    <w:qFormat/>
    <w:uiPriority w:val="0"/>
    <w:pPr>
      <w:jc w:val="left"/>
    </w:pPr>
    <w:rPr>
      <w:kern w:val="0"/>
      <w:sz w:val="24"/>
    </w:r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00"/>
      <w:sz w:val="18"/>
      <w:szCs w:val="18"/>
      <w:u w:val="none"/>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cjk"/>
    <w:basedOn w:val="1"/>
    <w:qFormat/>
    <w:uiPriority w:val="99"/>
    <w:pPr>
      <w:widowControl/>
      <w:spacing w:line="432" w:lineRule="auto"/>
      <w:jc w:val="left"/>
    </w:pPr>
    <w:rPr>
      <w:rFonts w:ascii="宋体" w:hAnsi="宋体" w:cs="宋体"/>
      <w:kern w:val="0"/>
      <w:sz w:val="24"/>
    </w:rPr>
  </w:style>
  <w:style w:type="paragraph" w:customStyle="1" w:styleId="17">
    <w:name w:val="正文 1.1.1"/>
    <w:basedOn w:val="1"/>
    <w:next w:val="1"/>
    <w:qFormat/>
    <w:uiPriority w:val="99"/>
    <w:pPr>
      <w:numPr>
        <w:ilvl w:val="2"/>
        <w:numId w:val="1"/>
      </w:numPr>
      <w:tabs>
        <w:tab w:val="left" w:pos="851"/>
      </w:tabs>
      <w:outlineLvl w:val="2"/>
    </w:pPr>
    <w:rPr>
      <w:rFonts w:hAnsi="宋体"/>
      <w:color w:val="FF0000"/>
    </w:rPr>
  </w:style>
  <w:style w:type="character" w:customStyle="1" w:styleId="18">
    <w:name w:val="文档结构图 Char"/>
    <w:basedOn w:val="11"/>
    <w:link w:val="4"/>
    <w:qFormat/>
    <w:uiPriority w:val="0"/>
    <w:rPr>
      <w:rFonts w:ascii="宋体" w:hAnsi="Calibri"/>
      <w:kern w:val="2"/>
      <w:sz w:val="18"/>
      <w:szCs w:val="18"/>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9" textRotate="1"/>
    <customShpInfo spid="_x0000_s1026"/>
    <customShpInfo spid="_x0000_s1030"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56</Pages>
  <Words>4823</Words>
  <Characters>27492</Characters>
  <Lines>229</Lines>
  <Paragraphs>64</Paragraphs>
  <TotalTime>5</TotalTime>
  <ScaleCrop>false</ScaleCrop>
  <LinksUpToDate>false</LinksUpToDate>
  <CharactersWithSpaces>32251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2019-01-22T08:30:00Z</dcterms:created>
  <dc:creator>单引号</dc:creator>
  <cp:lastModifiedBy>hh</cp:lastModifiedBy>
  <dcterms:modified xsi:type="dcterms:W3CDTF">2019-03-06T04:19:22Z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